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D1" w:rsidRPr="0053513F" w:rsidRDefault="00446D52" w:rsidP="0053513F">
      <w:pPr>
        <w:pStyle w:val="NoSpacing"/>
        <w:spacing w:line="276" w:lineRule="auto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>City Deal Executive and Stewardship Board</w:t>
      </w:r>
    </w:p>
    <w:p w:rsidR="00747FD1" w:rsidRDefault="00747FD1" w:rsidP="0053513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747FD1" w:rsidRPr="00747FD1" w:rsidRDefault="00747FD1" w:rsidP="0053513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747FD1">
        <w:rPr>
          <w:rFonts w:ascii="Arial" w:hAnsi="Arial" w:cs="Arial"/>
          <w:b/>
          <w:sz w:val="24"/>
          <w:szCs w:val="24"/>
        </w:rPr>
        <w:t>Private and Confidential: No</w:t>
      </w:r>
    </w:p>
    <w:p w:rsidR="00747FD1" w:rsidRPr="00747FD1" w:rsidRDefault="00747FD1" w:rsidP="0053513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47FD1" w:rsidRPr="00747FD1" w:rsidRDefault="00747FD1" w:rsidP="0053513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747FD1">
        <w:rPr>
          <w:rFonts w:ascii="Arial" w:hAnsi="Arial" w:cs="Arial"/>
          <w:b/>
          <w:sz w:val="24"/>
          <w:szCs w:val="24"/>
        </w:rPr>
        <w:t>Date: 30</w:t>
      </w:r>
      <w:r w:rsidRPr="00747FD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47FD1">
        <w:rPr>
          <w:rFonts w:ascii="Arial" w:hAnsi="Arial" w:cs="Arial"/>
          <w:b/>
          <w:sz w:val="24"/>
          <w:szCs w:val="24"/>
        </w:rPr>
        <w:t xml:space="preserve"> September 2016</w:t>
      </w:r>
      <w:r w:rsidRPr="0053513F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86238D" wp14:editId="2F0EB549">
                <wp:simplePos x="0" y="0"/>
                <wp:positionH relativeFrom="column">
                  <wp:posOffset>-45720</wp:posOffset>
                </wp:positionH>
                <wp:positionV relativeFrom="paragraph">
                  <wp:posOffset>359410</wp:posOffset>
                </wp:positionV>
                <wp:extent cx="5781675" cy="628650"/>
                <wp:effectExtent l="0" t="0" r="28575" b="1905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13F" w:rsidRDefault="003815F6" w:rsidP="00ED346B">
                            <w:pPr>
                              <w:pStyle w:val="NoSpacing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846E02">
                              <w:rPr>
                                <w:rFonts w:cs="Arial"/>
                                <w:b/>
                                <w:szCs w:val="24"/>
                              </w:rPr>
                              <w:t>Preston, South Ribble and Lancashire City Deal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: </w:t>
                            </w:r>
                          </w:p>
                          <w:p w:rsidR="003815F6" w:rsidRDefault="00A24A72" w:rsidP="00ED346B">
                            <w:pPr>
                              <w:pStyle w:val="NoSpacing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HCA</w:t>
                            </w:r>
                            <w:r w:rsidR="004A0498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Business and Disposal Plan 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(</w:t>
                            </w:r>
                            <w:r w:rsidR="004A0498">
                              <w:rPr>
                                <w:rFonts w:cs="Arial"/>
                                <w:b/>
                                <w:szCs w:val="24"/>
                              </w:rPr>
                              <w:t>2016 – 2019</w:t>
                            </w:r>
                            <w:r w:rsidR="00705B2F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) </w:t>
                            </w:r>
                            <w:r w:rsidR="004A0498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Progress 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Update</w:t>
                            </w:r>
                            <w:r w:rsidR="004A0498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6238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3.6pt;margin-top:28.3pt;width:455.25pt;height:4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fMKwIAAFI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">
                <v:textbox>
                  <w:txbxContent>
                    <w:p w:rsidR="0053513F" w:rsidRDefault="003815F6" w:rsidP="00ED346B">
                      <w:pPr>
                        <w:pStyle w:val="NoSpacing"/>
                        <w:rPr>
                          <w:rFonts w:cs="Arial"/>
                          <w:b/>
                          <w:szCs w:val="24"/>
                        </w:rPr>
                      </w:pPr>
                      <w:r w:rsidRPr="00846E02">
                        <w:rPr>
                          <w:rFonts w:cs="Arial"/>
                          <w:b/>
                          <w:szCs w:val="24"/>
                        </w:rPr>
                        <w:t>Preston, South Ribble and Lancashire City Deal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 xml:space="preserve">: </w:t>
                      </w:r>
                    </w:p>
                    <w:p w:rsidR="003815F6" w:rsidRDefault="00A24A72" w:rsidP="00ED346B">
                      <w:pPr>
                        <w:pStyle w:val="NoSpacing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HCA</w:t>
                      </w:r>
                      <w:r w:rsidR="004A0498">
                        <w:rPr>
                          <w:rFonts w:cs="Arial"/>
                          <w:b/>
                          <w:szCs w:val="24"/>
                        </w:rPr>
                        <w:t xml:space="preserve"> Business and Disposal Plan 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(</w:t>
                      </w:r>
                      <w:r w:rsidR="004A0498">
                        <w:rPr>
                          <w:rFonts w:cs="Arial"/>
                          <w:b/>
                          <w:szCs w:val="24"/>
                        </w:rPr>
                        <w:t>2016 – 2019</w:t>
                      </w:r>
                      <w:r w:rsidR="00705B2F">
                        <w:rPr>
                          <w:rFonts w:cs="Arial"/>
                          <w:b/>
                          <w:szCs w:val="24"/>
                        </w:rPr>
                        <w:t xml:space="preserve">) </w:t>
                      </w:r>
                      <w:r w:rsidR="004A0498">
                        <w:rPr>
                          <w:rFonts w:cs="Arial"/>
                          <w:b/>
                          <w:szCs w:val="24"/>
                        </w:rPr>
                        <w:t xml:space="preserve">Progress 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Update</w:t>
                      </w:r>
                      <w:r w:rsidR="004A0498">
                        <w:rPr>
                          <w:rFonts w:cs="Arial"/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7FD1" w:rsidRPr="0053513F" w:rsidRDefault="00747FD1" w:rsidP="005351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D346B" w:rsidRPr="0053513F" w:rsidRDefault="00ED346B" w:rsidP="0053513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53513F">
        <w:rPr>
          <w:rFonts w:ascii="Arial" w:hAnsi="Arial" w:cs="Arial"/>
          <w:b/>
          <w:sz w:val="24"/>
          <w:szCs w:val="24"/>
        </w:rPr>
        <w:t>Report Author</w:t>
      </w:r>
      <w:r w:rsidR="00C17FE8">
        <w:rPr>
          <w:rFonts w:ascii="Arial" w:hAnsi="Arial" w:cs="Arial"/>
          <w:b/>
          <w:sz w:val="24"/>
          <w:szCs w:val="24"/>
        </w:rPr>
        <w:t>s</w:t>
      </w:r>
      <w:r w:rsidRPr="0053513F">
        <w:rPr>
          <w:rFonts w:ascii="Arial" w:hAnsi="Arial" w:cs="Arial"/>
          <w:b/>
          <w:sz w:val="24"/>
          <w:szCs w:val="24"/>
        </w:rPr>
        <w:t>:</w:t>
      </w:r>
      <w:r w:rsidR="00846E02" w:rsidRPr="0053513F">
        <w:rPr>
          <w:rFonts w:ascii="Arial" w:hAnsi="Arial" w:cs="Arial"/>
          <w:b/>
          <w:sz w:val="24"/>
          <w:szCs w:val="24"/>
        </w:rPr>
        <w:t xml:space="preserve"> Stuart Sage, Head of Area Lancashire and Cumbria</w:t>
      </w:r>
      <w:r w:rsidR="003F5A8E">
        <w:rPr>
          <w:rFonts w:ascii="Arial" w:hAnsi="Arial" w:cs="Arial"/>
          <w:b/>
          <w:sz w:val="24"/>
          <w:szCs w:val="24"/>
        </w:rPr>
        <w:t xml:space="preserve">, Nick Cumberland, Senior Area Manager </w:t>
      </w:r>
      <w:r w:rsidR="00846E02" w:rsidRPr="0053513F">
        <w:rPr>
          <w:rFonts w:ascii="Arial" w:hAnsi="Arial" w:cs="Arial"/>
          <w:b/>
          <w:sz w:val="24"/>
          <w:szCs w:val="24"/>
        </w:rPr>
        <w:t>and</w:t>
      </w:r>
      <w:r w:rsidRPr="0053513F">
        <w:rPr>
          <w:rFonts w:ascii="Arial" w:hAnsi="Arial" w:cs="Arial"/>
          <w:b/>
          <w:sz w:val="24"/>
          <w:szCs w:val="24"/>
        </w:rPr>
        <w:t xml:space="preserve"> </w:t>
      </w:r>
      <w:r w:rsidR="003F5A8E">
        <w:rPr>
          <w:rFonts w:ascii="Arial" w:hAnsi="Arial" w:cs="Arial"/>
          <w:b/>
          <w:sz w:val="24"/>
          <w:szCs w:val="24"/>
        </w:rPr>
        <w:t>Debra Holroyd-Jones,</w:t>
      </w:r>
      <w:r w:rsidR="00846E02" w:rsidRPr="0053513F">
        <w:rPr>
          <w:rFonts w:ascii="Arial" w:hAnsi="Arial" w:cs="Arial"/>
          <w:b/>
          <w:sz w:val="24"/>
          <w:szCs w:val="24"/>
        </w:rPr>
        <w:t xml:space="preserve"> Area Manager</w:t>
      </w:r>
      <w:r w:rsidR="003F5A8E">
        <w:rPr>
          <w:rFonts w:ascii="Arial" w:hAnsi="Arial" w:cs="Arial"/>
          <w:b/>
          <w:sz w:val="24"/>
          <w:szCs w:val="24"/>
        </w:rPr>
        <w:t xml:space="preserve">, </w:t>
      </w:r>
      <w:r w:rsidR="003F5A8E" w:rsidRPr="0053513F">
        <w:rPr>
          <w:rFonts w:ascii="Arial" w:hAnsi="Arial" w:cs="Arial"/>
          <w:b/>
          <w:sz w:val="24"/>
          <w:szCs w:val="24"/>
        </w:rPr>
        <w:t>Homes and Communities Agency</w:t>
      </w:r>
      <w:r w:rsidR="00846E02" w:rsidRPr="0053513F">
        <w:rPr>
          <w:rFonts w:ascii="Arial" w:hAnsi="Arial" w:cs="Arial"/>
          <w:b/>
          <w:sz w:val="24"/>
          <w:szCs w:val="24"/>
        </w:rPr>
        <w:t xml:space="preserve"> </w:t>
      </w:r>
    </w:p>
    <w:p w:rsidR="004A0498" w:rsidRPr="0053513F" w:rsidRDefault="004A0498" w:rsidP="0053513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440F6A" w:rsidRPr="0053513F" w:rsidRDefault="0053513F" w:rsidP="0053513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53513F">
        <w:rPr>
          <w:rFonts w:ascii="Arial" w:hAnsi="Arial" w:cs="Arial"/>
          <w:b/>
          <w:sz w:val="24"/>
          <w:szCs w:val="24"/>
        </w:rPr>
        <w:t>1.0</w:t>
      </w:r>
      <w:r w:rsidRPr="0053513F">
        <w:rPr>
          <w:rFonts w:ascii="Arial" w:hAnsi="Arial" w:cs="Arial"/>
          <w:b/>
          <w:sz w:val="24"/>
          <w:szCs w:val="24"/>
        </w:rPr>
        <w:tab/>
      </w:r>
      <w:r w:rsidR="009A0CF0">
        <w:rPr>
          <w:rFonts w:ascii="Arial" w:hAnsi="Arial" w:cs="Arial"/>
          <w:b/>
          <w:sz w:val="24"/>
          <w:szCs w:val="24"/>
        </w:rPr>
        <w:t xml:space="preserve">Report Overview </w:t>
      </w:r>
    </w:p>
    <w:p w:rsidR="00B5475D" w:rsidRPr="0053513F" w:rsidRDefault="00B5475D" w:rsidP="0053513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9A0CF0" w:rsidRDefault="0053513F" w:rsidP="0053513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="00AA0361" w:rsidRPr="0053513F">
        <w:rPr>
          <w:rFonts w:ascii="Arial" w:eastAsia="Calibri" w:hAnsi="Arial" w:cs="Arial"/>
          <w:sz w:val="24"/>
          <w:szCs w:val="24"/>
        </w:rPr>
        <w:t xml:space="preserve">his </w:t>
      </w:r>
      <w:r w:rsidR="00753673" w:rsidRPr="0053513F">
        <w:rPr>
          <w:rFonts w:ascii="Arial" w:eastAsia="Calibri" w:hAnsi="Arial" w:cs="Arial"/>
          <w:sz w:val="24"/>
          <w:szCs w:val="24"/>
        </w:rPr>
        <w:t>report</w:t>
      </w:r>
      <w:r w:rsidR="00A24A72">
        <w:rPr>
          <w:rFonts w:ascii="Arial" w:eastAsia="Calibri" w:hAnsi="Arial" w:cs="Arial"/>
          <w:sz w:val="24"/>
          <w:szCs w:val="24"/>
        </w:rPr>
        <w:t xml:space="preserve"> </w:t>
      </w:r>
      <w:r w:rsidR="009A0CF0">
        <w:rPr>
          <w:rFonts w:ascii="Arial" w:eastAsia="Calibri" w:hAnsi="Arial" w:cs="Arial"/>
          <w:sz w:val="24"/>
          <w:szCs w:val="24"/>
        </w:rPr>
        <w:t>provide</w:t>
      </w:r>
      <w:r w:rsidR="00E158C6">
        <w:rPr>
          <w:rFonts w:ascii="Arial" w:eastAsia="Calibri" w:hAnsi="Arial" w:cs="Arial"/>
          <w:sz w:val="24"/>
          <w:szCs w:val="24"/>
        </w:rPr>
        <w:t>s</w:t>
      </w:r>
      <w:r w:rsidR="009A0CF0">
        <w:rPr>
          <w:rFonts w:ascii="Arial" w:eastAsia="Calibri" w:hAnsi="Arial" w:cs="Arial"/>
          <w:sz w:val="24"/>
          <w:szCs w:val="24"/>
        </w:rPr>
        <w:t xml:space="preserve"> an update on the progress made by the HCA on the delivery of the City Deal housing sites over the first two quarters </w:t>
      </w:r>
      <w:r w:rsidR="00AC2D0D">
        <w:rPr>
          <w:rFonts w:ascii="Arial" w:eastAsia="Calibri" w:hAnsi="Arial" w:cs="Arial"/>
          <w:sz w:val="24"/>
          <w:szCs w:val="24"/>
        </w:rPr>
        <w:t xml:space="preserve">of the financial year </w:t>
      </w:r>
      <w:r w:rsidR="009A0CF0">
        <w:rPr>
          <w:rFonts w:ascii="Arial" w:eastAsia="Calibri" w:hAnsi="Arial" w:cs="Arial"/>
          <w:sz w:val="24"/>
          <w:szCs w:val="24"/>
        </w:rPr>
        <w:t xml:space="preserve">(April 2016 – </w:t>
      </w:r>
      <w:r w:rsidR="00FA17EE">
        <w:rPr>
          <w:rFonts w:ascii="Arial" w:eastAsia="Calibri" w:hAnsi="Arial" w:cs="Arial"/>
          <w:sz w:val="24"/>
          <w:szCs w:val="24"/>
        </w:rPr>
        <w:t>September</w:t>
      </w:r>
      <w:r w:rsidR="009A0CF0">
        <w:rPr>
          <w:rFonts w:ascii="Arial" w:eastAsia="Calibri" w:hAnsi="Arial" w:cs="Arial"/>
          <w:sz w:val="24"/>
          <w:szCs w:val="24"/>
        </w:rPr>
        <w:t xml:space="preserve"> 2016). </w:t>
      </w:r>
    </w:p>
    <w:p w:rsidR="009A0CF0" w:rsidRDefault="009A0CF0" w:rsidP="009A0CF0">
      <w:pPr>
        <w:pStyle w:val="ListParagraph"/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</w:p>
    <w:p w:rsidR="00FA17EE" w:rsidRDefault="00FA17EE" w:rsidP="0053513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It focuses on the</w:t>
      </w:r>
      <w:r w:rsidR="00E158C6">
        <w:rPr>
          <w:rFonts w:ascii="Arial" w:eastAsia="Calibri" w:hAnsi="Arial" w:cs="Arial"/>
          <w:sz w:val="24"/>
          <w:szCs w:val="24"/>
        </w:rPr>
        <w:t xml:space="preserve"> key delivery milestones, </w:t>
      </w:r>
      <w:r>
        <w:rPr>
          <w:rFonts w:ascii="Arial" w:eastAsia="Calibri" w:hAnsi="Arial" w:cs="Arial"/>
          <w:sz w:val="24"/>
          <w:szCs w:val="24"/>
        </w:rPr>
        <w:t>finances</w:t>
      </w:r>
      <w:r w:rsidR="00E158C6">
        <w:rPr>
          <w:rFonts w:ascii="Arial" w:eastAsia="Calibri" w:hAnsi="Arial" w:cs="Arial"/>
          <w:sz w:val="24"/>
          <w:szCs w:val="24"/>
        </w:rPr>
        <w:t xml:space="preserve"> invested into the Deal and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="00E158C6">
        <w:rPr>
          <w:rFonts w:ascii="Arial" w:eastAsia="Calibri" w:hAnsi="Arial" w:cs="Arial"/>
          <w:sz w:val="24"/>
          <w:szCs w:val="24"/>
        </w:rPr>
        <w:t>draws out any risks and emerging issues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826B25" w:rsidRPr="0053513F" w:rsidRDefault="00826B25" w:rsidP="0053513F">
      <w:pPr>
        <w:spacing w:after="0"/>
        <w:ind w:left="567"/>
        <w:rPr>
          <w:rFonts w:ascii="Arial" w:eastAsia="Times New Roman" w:hAnsi="Arial" w:cs="Arial"/>
          <w:b/>
          <w:szCs w:val="24"/>
        </w:rPr>
      </w:pPr>
    </w:p>
    <w:p w:rsidR="00440F6A" w:rsidRPr="0053513F" w:rsidRDefault="0053513F" w:rsidP="0053513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53513F">
        <w:rPr>
          <w:rFonts w:ascii="Arial" w:hAnsi="Arial" w:cs="Arial"/>
          <w:b/>
          <w:sz w:val="24"/>
          <w:szCs w:val="24"/>
        </w:rPr>
        <w:t xml:space="preserve">2.0 </w:t>
      </w:r>
      <w:r w:rsidRPr="0053513F">
        <w:rPr>
          <w:rFonts w:ascii="Arial" w:hAnsi="Arial" w:cs="Arial"/>
          <w:b/>
          <w:sz w:val="24"/>
          <w:szCs w:val="24"/>
        </w:rPr>
        <w:tab/>
      </w:r>
      <w:r w:rsidR="00440F6A" w:rsidRPr="0053513F">
        <w:rPr>
          <w:rFonts w:ascii="Arial" w:hAnsi="Arial" w:cs="Arial"/>
          <w:b/>
          <w:sz w:val="24"/>
          <w:szCs w:val="24"/>
        </w:rPr>
        <w:t>Recommendation</w:t>
      </w:r>
    </w:p>
    <w:p w:rsidR="0053513F" w:rsidRPr="0053513F" w:rsidRDefault="0053513F" w:rsidP="005351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A0361" w:rsidRPr="0053513F" w:rsidRDefault="0053513F" w:rsidP="0053513F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3513F">
        <w:rPr>
          <w:rFonts w:ascii="Arial" w:hAnsi="Arial" w:cs="Arial"/>
          <w:sz w:val="24"/>
          <w:szCs w:val="24"/>
        </w:rPr>
        <w:tab/>
      </w:r>
      <w:r w:rsidR="00AA0361" w:rsidRPr="0053513F">
        <w:rPr>
          <w:rFonts w:ascii="Arial" w:hAnsi="Arial" w:cs="Arial"/>
          <w:sz w:val="24"/>
          <w:szCs w:val="24"/>
        </w:rPr>
        <w:t xml:space="preserve">The Stewardship Board and Executive are </w:t>
      </w:r>
      <w:r w:rsidR="00AC2D0D">
        <w:rPr>
          <w:rFonts w:ascii="Arial" w:hAnsi="Arial" w:cs="Arial"/>
          <w:sz w:val="24"/>
          <w:szCs w:val="24"/>
        </w:rPr>
        <w:t>recommended</w:t>
      </w:r>
      <w:r w:rsidR="00AA0361" w:rsidRPr="0053513F">
        <w:rPr>
          <w:rFonts w:ascii="Arial" w:hAnsi="Arial" w:cs="Arial"/>
          <w:sz w:val="24"/>
          <w:szCs w:val="24"/>
        </w:rPr>
        <w:t xml:space="preserve"> to</w:t>
      </w:r>
      <w:r w:rsidR="00B778E3" w:rsidRPr="0053513F">
        <w:rPr>
          <w:rFonts w:ascii="Arial" w:hAnsi="Arial" w:cs="Arial"/>
          <w:sz w:val="24"/>
          <w:szCs w:val="24"/>
        </w:rPr>
        <w:t>:</w:t>
      </w:r>
      <w:r w:rsidR="00AA0361" w:rsidRPr="0053513F">
        <w:rPr>
          <w:rFonts w:ascii="Arial" w:hAnsi="Arial" w:cs="Arial"/>
          <w:sz w:val="24"/>
          <w:szCs w:val="24"/>
        </w:rPr>
        <w:t xml:space="preserve"> </w:t>
      </w:r>
    </w:p>
    <w:p w:rsidR="00AA0361" w:rsidRPr="0053513F" w:rsidRDefault="00AA0361" w:rsidP="005351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3513F" w:rsidRPr="0053513F" w:rsidRDefault="00AA0361" w:rsidP="0053513F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/>
        <w:ind w:left="1418"/>
        <w:rPr>
          <w:rFonts w:ascii="Arial" w:hAnsi="Arial" w:cs="Arial"/>
          <w:sz w:val="24"/>
          <w:szCs w:val="24"/>
        </w:rPr>
      </w:pPr>
      <w:r w:rsidRPr="0053513F">
        <w:rPr>
          <w:rFonts w:ascii="Arial" w:hAnsi="Arial" w:cs="Arial"/>
          <w:sz w:val="24"/>
          <w:szCs w:val="24"/>
        </w:rPr>
        <w:t>Note the content of th</w:t>
      </w:r>
      <w:r w:rsidR="00AC2D0D">
        <w:rPr>
          <w:rFonts w:ascii="Arial" w:hAnsi="Arial" w:cs="Arial"/>
          <w:sz w:val="24"/>
          <w:szCs w:val="24"/>
        </w:rPr>
        <w:t>e</w:t>
      </w:r>
      <w:r w:rsidRPr="0053513F">
        <w:rPr>
          <w:rFonts w:ascii="Arial" w:hAnsi="Arial" w:cs="Arial"/>
          <w:sz w:val="24"/>
          <w:szCs w:val="24"/>
        </w:rPr>
        <w:t xml:space="preserve"> report and the progress made in </w:t>
      </w:r>
      <w:r w:rsidR="00FA17EE">
        <w:rPr>
          <w:rFonts w:ascii="Arial" w:hAnsi="Arial" w:cs="Arial"/>
          <w:sz w:val="24"/>
          <w:szCs w:val="24"/>
        </w:rPr>
        <w:t>q</w:t>
      </w:r>
      <w:r w:rsidR="00AC2D0D">
        <w:rPr>
          <w:rFonts w:ascii="Arial" w:hAnsi="Arial" w:cs="Arial"/>
          <w:sz w:val="24"/>
          <w:szCs w:val="24"/>
        </w:rPr>
        <w:t>uarter</w:t>
      </w:r>
      <w:r w:rsidR="00FA17EE">
        <w:rPr>
          <w:rFonts w:ascii="Arial" w:hAnsi="Arial" w:cs="Arial"/>
          <w:sz w:val="24"/>
          <w:szCs w:val="24"/>
        </w:rPr>
        <w:t xml:space="preserve"> 1 and quarter 2</w:t>
      </w:r>
      <w:r w:rsidRPr="0053513F">
        <w:rPr>
          <w:rFonts w:ascii="Arial" w:hAnsi="Arial" w:cs="Arial"/>
          <w:sz w:val="24"/>
          <w:szCs w:val="24"/>
        </w:rPr>
        <w:t xml:space="preserve"> </w:t>
      </w:r>
    </w:p>
    <w:p w:rsidR="00826B25" w:rsidRDefault="00826B25" w:rsidP="0053513F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A61C4F" w:rsidRPr="00F47A3C" w:rsidRDefault="00FA17EE" w:rsidP="00A61C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720"/>
        <w:rPr>
          <w:rFonts w:ascii="Arial" w:hAnsi="Arial" w:cs="Arial"/>
          <w:b/>
          <w:sz w:val="24"/>
          <w:szCs w:val="24"/>
        </w:rPr>
      </w:pPr>
      <w:r w:rsidRPr="00F47A3C">
        <w:rPr>
          <w:rFonts w:ascii="Arial" w:hAnsi="Arial" w:cs="Arial"/>
          <w:b/>
          <w:sz w:val="24"/>
          <w:szCs w:val="24"/>
        </w:rPr>
        <w:t>HCA Site Highlights 2016/17 (April 16 to September 16)</w:t>
      </w:r>
      <w:r w:rsidR="00A61C4F" w:rsidRPr="00F47A3C">
        <w:rPr>
          <w:rFonts w:ascii="Arial" w:hAnsi="Arial" w:cs="Arial"/>
          <w:b/>
          <w:sz w:val="24"/>
          <w:szCs w:val="24"/>
        </w:rPr>
        <w:t xml:space="preserve"> </w:t>
      </w:r>
    </w:p>
    <w:p w:rsidR="00A61C4F" w:rsidRPr="00FA17EE" w:rsidRDefault="00A61C4F" w:rsidP="00A61C4F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D042BD" w:rsidRPr="002250ED" w:rsidRDefault="00C70F22" w:rsidP="00A61C4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2250ED">
        <w:rPr>
          <w:rFonts w:ascii="Arial" w:hAnsi="Arial" w:cs="Arial"/>
          <w:sz w:val="24"/>
          <w:szCs w:val="24"/>
        </w:rPr>
        <w:t xml:space="preserve">The HCA have </w:t>
      </w:r>
      <w:r w:rsidR="00D042BD" w:rsidRPr="002250ED">
        <w:rPr>
          <w:rFonts w:ascii="Arial" w:hAnsi="Arial" w:cs="Arial"/>
          <w:sz w:val="24"/>
          <w:szCs w:val="24"/>
        </w:rPr>
        <w:t>secured additional resource to help focus on land projects which has resulted in positive progress on being made on a number of site</w:t>
      </w:r>
      <w:r w:rsidR="00AC2D0D">
        <w:rPr>
          <w:rFonts w:ascii="Arial" w:hAnsi="Arial" w:cs="Arial"/>
          <w:sz w:val="24"/>
          <w:szCs w:val="24"/>
        </w:rPr>
        <w:t>s</w:t>
      </w:r>
      <w:r w:rsidR="00D042BD" w:rsidRPr="002250ED">
        <w:rPr>
          <w:rFonts w:ascii="Arial" w:hAnsi="Arial" w:cs="Arial"/>
          <w:sz w:val="24"/>
          <w:szCs w:val="24"/>
        </w:rPr>
        <w:t xml:space="preserve"> over the first two quarters of 2016/17. </w:t>
      </w:r>
    </w:p>
    <w:p w:rsidR="00A61C4F" w:rsidRPr="002250ED" w:rsidRDefault="00A61C4F" w:rsidP="00A61C4F">
      <w:pPr>
        <w:pStyle w:val="ListParagraph"/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A61C4F" w:rsidRPr="002250ED" w:rsidRDefault="00A61C4F" w:rsidP="00A61C4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2250ED">
        <w:rPr>
          <w:rFonts w:ascii="Arial" w:hAnsi="Arial" w:cs="Arial"/>
          <w:sz w:val="24"/>
          <w:szCs w:val="24"/>
        </w:rPr>
        <w:t>There have been a significant number of milestones achieved this year most notably:</w:t>
      </w:r>
    </w:p>
    <w:p w:rsidR="00A61C4F" w:rsidRDefault="00A61C4F" w:rsidP="00A61C4F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747FD1" w:rsidRDefault="00747FD1" w:rsidP="00A61C4F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747FD1" w:rsidRDefault="00747FD1" w:rsidP="00A61C4F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747FD1" w:rsidRPr="00FA17EE" w:rsidRDefault="00747FD1" w:rsidP="00A61C4F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A61C4F" w:rsidRPr="000635DB" w:rsidRDefault="00A61C4F" w:rsidP="00A61C4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b/>
          <w:sz w:val="24"/>
          <w:szCs w:val="24"/>
        </w:rPr>
        <w:lastRenderedPageBreak/>
        <w:t xml:space="preserve">Preston </w:t>
      </w:r>
    </w:p>
    <w:p w:rsidR="00A61C4F" w:rsidRPr="00FA17EE" w:rsidRDefault="00A61C4F" w:rsidP="00A61C4F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0635DB" w:rsidRPr="000635DB" w:rsidRDefault="000635DB" w:rsidP="000635DB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0635DB">
        <w:rPr>
          <w:rFonts w:ascii="Arial" w:hAnsi="Arial" w:cs="Arial"/>
          <w:b/>
          <w:bCs/>
          <w:sz w:val="24"/>
          <w:szCs w:val="24"/>
        </w:rPr>
        <w:t>April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0635DB">
        <w:rPr>
          <w:rFonts w:ascii="Arial" w:hAnsi="Arial" w:cs="Arial"/>
          <w:bCs/>
          <w:sz w:val="24"/>
          <w:szCs w:val="24"/>
        </w:rPr>
        <w:t>Cottam Hall Phase 2 (Story Homes) formally commenced on site</w:t>
      </w:r>
      <w:r w:rsidR="00C70F22">
        <w:rPr>
          <w:rFonts w:ascii="Arial" w:hAnsi="Arial" w:cs="Arial"/>
          <w:bCs/>
          <w:sz w:val="24"/>
          <w:szCs w:val="24"/>
        </w:rPr>
        <w:t xml:space="preserve"> with the first of their </w:t>
      </w:r>
      <w:r w:rsidR="00DF575C">
        <w:rPr>
          <w:rFonts w:ascii="Arial" w:hAnsi="Arial" w:cs="Arial"/>
          <w:bCs/>
          <w:sz w:val="24"/>
          <w:szCs w:val="24"/>
        </w:rPr>
        <w:t>283</w:t>
      </w:r>
      <w:r w:rsidR="00C70F22">
        <w:rPr>
          <w:rFonts w:ascii="Arial" w:hAnsi="Arial" w:cs="Arial"/>
          <w:bCs/>
          <w:sz w:val="24"/>
          <w:szCs w:val="24"/>
        </w:rPr>
        <w:t xml:space="preserve"> unit scheme</w:t>
      </w:r>
      <w:r w:rsidR="00223604">
        <w:rPr>
          <w:rFonts w:ascii="Arial" w:hAnsi="Arial" w:cs="Arial"/>
          <w:bCs/>
          <w:sz w:val="24"/>
          <w:szCs w:val="24"/>
        </w:rPr>
        <w:t>.</w:t>
      </w:r>
      <w:r w:rsidRPr="000635DB">
        <w:rPr>
          <w:rFonts w:ascii="Arial" w:hAnsi="Arial" w:cs="Arial"/>
          <w:bCs/>
          <w:sz w:val="24"/>
          <w:szCs w:val="24"/>
        </w:rPr>
        <w:t xml:space="preserve"> </w:t>
      </w:r>
    </w:p>
    <w:p w:rsidR="000635DB" w:rsidRPr="000635DB" w:rsidRDefault="000635DB" w:rsidP="000635D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AE52F5" w:rsidRPr="00CC270E" w:rsidRDefault="002250ED" w:rsidP="00AE52F5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 w:rsidRPr="002250ED">
        <w:rPr>
          <w:rFonts w:ascii="Arial" w:hAnsi="Arial" w:cs="Arial"/>
          <w:b/>
          <w:bCs/>
          <w:sz w:val="24"/>
          <w:szCs w:val="24"/>
        </w:rPr>
        <w:t>May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2250ED">
        <w:rPr>
          <w:rFonts w:ascii="Arial" w:hAnsi="Arial" w:cs="Arial"/>
          <w:bCs/>
          <w:sz w:val="24"/>
          <w:szCs w:val="24"/>
        </w:rPr>
        <w:t xml:space="preserve">HCA </w:t>
      </w:r>
      <w:r>
        <w:rPr>
          <w:rFonts w:ascii="Arial" w:hAnsi="Arial" w:cs="Arial"/>
          <w:bCs/>
          <w:sz w:val="24"/>
          <w:szCs w:val="24"/>
        </w:rPr>
        <w:t xml:space="preserve">were unable to successfully complete negotiations </w:t>
      </w:r>
      <w:r w:rsidRPr="002250ED">
        <w:rPr>
          <w:rFonts w:ascii="Arial" w:hAnsi="Arial" w:cs="Arial"/>
          <w:bCs/>
          <w:sz w:val="24"/>
          <w:szCs w:val="24"/>
        </w:rPr>
        <w:t>with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250ED">
        <w:rPr>
          <w:rFonts w:ascii="Arial" w:hAnsi="Arial" w:cs="Arial"/>
          <w:bCs/>
          <w:sz w:val="24"/>
          <w:szCs w:val="24"/>
        </w:rPr>
        <w:t>Morris Homes</w:t>
      </w:r>
      <w:r>
        <w:rPr>
          <w:rFonts w:ascii="Arial" w:hAnsi="Arial" w:cs="Arial"/>
          <w:bCs/>
          <w:sz w:val="24"/>
          <w:szCs w:val="24"/>
        </w:rPr>
        <w:t xml:space="preserve"> on at Whittingham Hospital phase 2. HCA are now in the process of agreeing a new delivery strategy for this phase</w:t>
      </w:r>
      <w:r w:rsidR="00611B03">
        <w:rPr>
          <w:rFonts w:ascii="Arial" w:hAnsi="Arial" w:cs="Arial"/>
          <w:bCs/>
          <w:sz w:val="24"/>
          <w:szCs w:val="24"/>
        </w:rPr>
        <w:t xml:space="preserve">. </w:t>
      </w:r>
      <w:r w:rsidR="00AE52F5">
        <w:rPr>
          <w:rFonts w:ascii="Arial" w:hAnsi="Arial" w:cs="Arial"/>
          <w:bCs/>
          <w:sz w:val="24"/>
          <w:szCs w:val="24"/>
        </w:rPr>
        <w:t xml:space="preserve">Taylor Wimpey completed </w:t>
      </w:r>
      <w:r w:rsidR="00087642">
        <w:rPr>
          <w:rFonts w:ascii="Arial" w:hAnsi="Arial" w:cs="Arial"/>
          <w:bCs/>
          <w:sz w:val="24"/>
          <w:szCs w:val="24"/>
        </w:rPr>
        <w:t>c12</w:t>
      </w:r>
      <w:r w:rsidR="00AE52F5">
        <w:rPr>
          <w:rFonts w:ascii="Arial" w:hAnsi="Arial" w:cs="Arial"/>
          <w:bCs/>
          <w:sz w:val="24"/>
          <w:szCs w:val="24"/>
        </w:rPr>
        <w:t xml:space="preserve"> new homes at Phase 1.</w:t>
      </w:r>
    </w:p>
    <w:p w:rsidR="002250ED" w:rsidRPr="002250ED" w:rsidRDefault="002250ED" w:rsidP="002250ED">
      <w:pPr>
        <w:pStyle w:val="ListParagraph"/>
        <w:rPr>
          <w:rFonts w:ascii="Arial" w:hAnsi="Arial" w:cs="Arial"/>
          <w:bCs/>
          <w:sz w:val="24"/>
          <w:szCs w:val="24"/>
        </w:rPr>
      </w:pPr>
      <w:r w:rsidRPr="002250ED">
        <w:rPr>
          <w:rFonts w:ascii="Arial" w:hAnsi="Arial" w:cs="Arial"/>
          <w:bCs/>
          <w:sz w:val="24"/>
          <w:szCs w:val="24"/>
        </w:rPr>
        <w:t xml:space="preserve">  </w:t>
      </w:r>
    </w:p>
    <w:p w:rsidR="000635DB" w:rsidRPr="000635DB" w:rsidRDefault="000635DB" w:rsidP="000635DB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0635DB">
        <w:rPr>
          <w:rFonts w:ascii="Arial" w:hAnsi="Arial" w:cs="Arial"/>
          <w:b/>
          <w:bCs/>
          <w:sz w:val="24"/>
          <w:szCs w:val="24"/>
        </w:rPr>
        <w:t>June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0635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35DB">
        <w:rPr>
          <w:rFonts w:ascii="Arial" w:hAnsi="Arial" w:cs="Arial"/>
          <w:bCs/>
          <w:sz w:val="24"/>
          <w:szCs w:val="24"/>
        </w:rPr>
        <w:t>Cottam Hall Phase 2, Story Homes completed first dwelling ahead of schedule</w:t>
      </w:r>
      <w:r w:rsidR="00C70F22">
        <w:rPr>
          <w:rFonts w:ascii="Arial" w:hAnsi="Arial" w:cs="Arial"/>
          <w:bCs/>
          <w:sz w:val="24"/>
          <w:szCs w:val="24"/>
        </w:rPr>
        <w:t xml:space="preserve"> and confirm that they already have a prospective purchaser lined up</w:t>
      </w:r>
      <w:r w:rsidR="00223604">
        <w:rPr>
          <w:rFonts w:ascii="Arial" w:hAnsi="Arial" w:cs="Arial"/>
          <w:bCs/>
          <w:sz w:val="24"/>
          <w:szCs w:val="24"/>
        </w:rPr>
        <w:t>.</w:t>
      </w:r>
    </w:p>
    <w:p w:rsidR="000635DB" w:rsidRPr="000635DB" w:rsidRDefault="000635DB" w:rsidP="000635D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0635DB" w:rsidRPr="000635DB" w:rsidRDefault="000635DB" w:rsidP="000635DB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0635DB">
        <w:rPr>
          <w:rFonts w:ascii="Arial" w:hAnsi="Arial" w:cs="Arial"/>
          <w:b/>
          <w:bCs/>
          <w:sz w:val="24"/>
          <w:szCs w:val="24"/>
        </w:rPr>
        <w:t>July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0635DB">
        <w:rPr>
          <w:rFonts w:ascii="Arial" w:hAnsi="Arial" w:cs="Arial"/>
          <w:bCs/>
          <w:sz w:val="24"/>
          <w:szCs w:val="24"/>
        </w:rPr>
        <w:t>Cottam Hall Site K, Barrett Homes complete</w:t>
      </w:r>
      <w:r w:rsidR="00087642">
        <w:rPr>
          <w:rFonts w:ascii="Arial" w:hAnsi="Arial" w:cs="Arial"/>
          <w:bCs/>
          <w:sz w:val="24"/>
          <w:szCs w:val="24"/>
        </w:rPr>
        <w:t>d</w:t>
      </w:r>
      <w:r w:rsidR="00C70F22">
        <w:rPr>
          <w:rFonts w:ascii="Arial" w:hAnsi="Arial" w:cs="Arial"/>
          <w:bCs/>
          <w:sz w:val="24"/>
          <w:szCs w:val="24"/>
        </w:rPr>
        <w:t xml:space="preserve"> 55 new home</w:t>
      </w:r>
      <w:r w:rsidR="00F729A7">
        <w:rPr>
          <w:rFonts w:ascii="Arial" w:hAnsi="Arial" w:cs="Arial"/>
          <w:bCs/>
          <w:sz w:val="24"/>
          <w:szCs w:val="24"/>
        </w:rPr>
        <w:t>s</w:t>
      </w:r>
      <w:r w:rsidR="00223604">
        <w:rPr>
          <w:rFonts w:ascii="Arial" w:hAnsi="Arial" w:cs="Arial"/>
          <w:bCs/>
          <w:sz w:val="24"/>
          <w:szCs w:val="24"/>
        </w:rPr>
        <w:t xml:space="preserve"> on</w:t>
      </w:r>
      <w:r w:rsidR="00C70F22">
        <w:rPr>
          <w:rFonts w:ascii="Arial" w:hAnsi="Arial" w:cs="Arial"/>
          <w:bCs/>
          <w:sz w:val="24"/>
          <w:szCs w:val="24"/>
        </w:rPr>
        <w:t xml:space="preserve"> site, with just over half of the 104 new homes now delivered</w:t>
      </w:r>
      <w:r w:rsidR="00087642">
        <w:rPr>
          <w:rFonts w:ascii="Arial" w:hAnsi="Arial" w:cs="Arial"/>
          <w:bCs/>
          <w:sz w:val="24"/>
          <w:szCs w:val="24"/>
        </w:rPr>
        <w:t xml:space="preserve">. 47 sales were completed </w:t>
      </w:r>
      <w:r w:rsidR="00E04CF1">
        <w:rPr>
          <w:rFonts w:ascii="Arial" w:hAnsi="Arial" w:cs="Arial"/>
          <w:bCs/>
          <w:sz w:val="24"/>
          <w:szCs w:val="24"/>
        </w:rPr>
        <w:t xml:space="preserve">by the end </w:t>
      </w:r>
      <w:r w:rsidR="00087642">
        <w:rPr>
          <w:rFonts w:ascii="Arial" w:hAnsi="Arial" w:cs="Arial"/>
          <w:bCs/>
          <w:sz w:val="24"/>
          <w:szCs w:val="24"/>
        </w:rPr>
        <w:t>of July.</w:t>
      </w:r>
    </w:p>
    <w:p w:rsidR="000635DB" w:rsidRPr="000635DB" w:rsidRDefault="000635DB" w:rsidP="000635D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F91505" w:rsidRPr="00F91505" w:rsidRDefault="000635DB" w:rsidP="000635DB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August: </w:t>
      </w:r>
      <w:r w:rsidRPr="000635DB">
        <w:rPr>
          <w:rFonts w:ascii="Arial" w:hAnsi="Arial" w:cs="Arial"/>
          <w:bCs/>
          <w:sz w:val="24"/>
          <w:szCs w:val="24"/>
        </w:rPr>
        <w:t xml:space="preserve">Eastway, </w:t>
      </w:r>
      <w:r w:rsidR="00C70F22">
        <w:rPr>
          <w:rFonts w:ascii="Arial" w:hAnsi="Arial" w:cs="Arial"/>
          <w:bCs/>
          <w:sz w:val="24"/>
          <w:szCs w:val="24"/>
        </w:rPr>
        <w:t>HCA and</w:t>
      </w:r>
      <w:r w:rsidRPr="000635DB">
        <w:rPr>
          <w:rFonts w:ascii="Arial" w:hAnsi="Arial" w:cs="Arial"/>
          <w:bCs/>
          <w:sz w:val="24"/>
          <w:szCs w:val="24"/>
        </w:rPr>
        <w:t xml:space="preserve"> </w:t>
      </w:r>
      <w:r w:rsidRPr="000635DB">
        <w:rPr>
          <w:rFonts w:ascii="Arial" w:hAnsi="Arial" w:cs="Arial"/>
          <w:sz w:val="24"/>
          <w:szCs w:val="24"/>
        </w:rPr>
        <w:t xml:space="preserve">Story Homes </w:t>
      </w:r>
      <w:r w:rsidR="00C70F22">
        <w:rPr>
          <w:rFonts w:ascii="Arial" w:hAnsi="Arial" w:cs="Arial"/>
          <w:sz w:val="24"/>
          <w:szCs w:val="24"/>
        </w:rPr>
        <w:t xml:space="preserve">complete a </w:t>
      </w:r>
      <w:r w:rsidRPr="000635DB">
        <w:rPr>
          <w:rFonts w:ascii="Arial" w:hAnsi="Arial" w:cs="Arial"/>
          <w:sz w:val="24"/>
          <w:szCs w:val="24"/>
        </w:rPr>
        <w:t>deal for 300 new homes resulting in a grant payment of £1.33m being made to LCC</w:t>
      </w:r>
      <w:r w:rsidR="00223604">
        <w:rPr>
          <w:rFonts w:ascii="Arial" w:hAnsi="Arial" w:cs="Arial"/>
          <w:sz w:val="24"/>
          <w:szCs w:val="24"/>
        </w:rPr>
        <w:t>.</w:t>
      </w:r>
    </w:p>
    <w:p w:rsidR="00F91505" w:rsidRPr="00F91505" w:rsidRDefault="00F91505" w:rsidP="00F91505">
      <w:pPr>
        <w:pStyle w:val="ListParagraph"/>
        <w:rPr>
          <w:rFonts w:ascii="Arial" w:hAnsi="Arial" w:cs="Arial"/>
          <w:sz w:val="24"/>
          <w:szCs w:val="24"/>
        </w:rPr>
      </w:pPr>
    </w:p>
    <w:p w:rsidR="000635DB" w:rsidRPr="000635DB" w:rsidRDefault="00C70F22" w:rsidP="00F91505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635DB" w:rsidRPr="000635DB">
        <w:rPr>
          <w:rFonts w:ascii="Arial" w:hAnsi="Arial" w:cs="Arial"/>
          <w:sz w:val="24"/>
          <w:szCs w:val="24"/>
        </w:rPr>
        <w:t xml:space="preserve">n </w:t>
      </w:r>
      <w:r w:rsidR="000635DB" w:rsidRPr="000635DB">
        <w:rPr>
          <w:rFonts w:ascii="Arial" w:hAnsi="Arial" w:cs="Arial"/>
          <w:bCs/>
          <w:sz w:val="24"/>
          <w:szCs w:val="24"/>
        </w:rPr>
        <w:t>Cottam Hall Phase 2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0635DB" w:rsidRPr="000635DB">
        <w:rPr>
          <w:rFonts w:ascii="Arial" w:hAnsi="Arial" w:cs="Arial"/>
          <w:bCs/>
          <w:sz w:val="24"/>
          <w:szCs w:val="24"/>
        </w:rPr>
        <w:t>Story Homes have comp</w:t>
      </w:r>
      <w:r w:rsidR="00223604">
        <w:rPr>
          <w:rFonts w:ascii="Arial" w:hAnsi="Arial" w:cs="Arial"/>
          <w:bCs/>
          <w:sz w:val="24"/>
          <w:szCs w:val="24"/>
        </w:rPr>
        <w:t>l</w:t>
      </w:r>
      <w:r w:rsidR="000635DB" w:rsidRPr="000635DB">
        <w:rPr>
          <w:rFonts w:ascii="Arial" w:hAnsi="Arial" w:cs="Arial"/>
          <w:bCs/>
          <w:sz w:val="24"/>
          <w:szCs w:val="24"/>
        </w:rPr>
        <w:t>eted 8 dwellings</w:t>
      </w:r>
      <w:r>
        <w:rPr>
          <w:rFonts w:ascii="Arial" w:hAnsi="Arial" w:cs="Arial"/>
          <w:bCs/>
          <w:sz w:val="24"/>
          <w:szCs w:val="24"/>
        </w:rPr>
        <w:t xml:space="preserve"> and are ahead of schedule and encouraged by the sales interest</w:t>
      </w:r>
      <w:r w:rsidR="00223604">
        <w:rPr>
          <w:rFonts w:ascii="Arial" w:hAnsi="Arial" w:cs="Arial"/>
          <w:bCs/>
          <w:sz w:val="24"/>
          <w:szCs w:val="24"/>
        </w:rPr>
        <w:t>.</w:t>
      </w:r>
      <w:r w:rsidR="000635DB" w:rsidRPr="000635DB">
        <w:rPr>
          <w:rFonts w:ascii="Arial" w:hAnsi="Arial" w:cs="Arial"/>
          <w:bCs/>
          <w:sz w:val="24"/>
          <w:szCs w:val="24"/>
        </w:rPr>
        <w:t xml:space="preserve"> </w:t>
      </w:r>
    </w:p>
    <w:p w:rsidR="000635DB" w:rsidRPr="000635DB" w:rsidRDefault="000635DB" w:rsidP="000635D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0635DB" w:rsidRPr="000635DB" w:rsidRDefault="000635DB" w:rsidP="000635DB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 w:rsidRPr="000635DB">
        <w:rPr>
          <w:rFonts w:ascii="Arial" w:hAnsi="Arial" w:cs="Arial"/>
          <w:b/>
          <w:bCs/>
          <w:sz w:val="24"/>
          <w:szCs w:val="24"/>
        </w:rPr>
        <w:t>September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0635DB">
        <w:rPr>
          <w:rFonts w:ascii="Arial" w:hAnsi="Arial" w:cs="Arial"/>
          <w:bCs/>
          <w:sz w:val="24"/>
          <w:szCs w:val="24"/>
        </w:rPr>
        <w:t xml:space="preserve">Story Homes formally commenced on site at Eastway and Morris Homes are due to submit the reserved matters application for Cottam Hall Phase 3 </w:t>
      </w:r>
      <w:r w:rsidR="00DF575C">
        <w:rPr>
          <w:rFonts w:ascii="Arial" w:hAnsi="Arial" w:cs="Arial"/>
          <w:bCs/>
          <w:sz w:val="24"/>
          <w:szCs w:val="24"/>
        </w:rPr>
        <w:t xml:space="preserve">for 119 new homes </w:t>
      </w:r>
      <w:r w:rsidRPr="000635DB">
        <w:rPr>
          <w:rFonts w:ascii="Arial" w:hAnsi="Arial" w:cs="Arial"/>
          <w:bCs/>
          <w:sz w:val="24"/>
          <w:szCs w:val="24"/>
        </w:rPr>
        <w:t xml:space="preserve">by the end of </w:t>
      </w:r>
      <w:r w:rsidR="00C70F22">
        <w:rPr>
          <w:rFonts w:ascii="Arial" w:hAnsi="Arial" w:cs="Arial"/>
          <w:bCs/>
          <w:sz w:val="24"/>
          <w:szCs w:val="24"/>
        </w:rPr>
        <w:t xml:space="preserve">the </w:t>
      </w:r>
      <w:r w:rsidRPr="000635DB">
        <w:rPr>
          <w:rFonts w:ascii="Arial" w:hAnsi="Arial" w:cs="Arial"/>
          <w:bCs/>
          <w:sz w:val="24"/>
          <w:szCs w:val="24"/>
        </w:rPr>
        <w:t>month</w:t>
      </w:r>
      <w:r w:rsidR="00223604">
        <w:rPr>
          <w:rFonts w:ascii="Arial" w:hAnsi="Arial" w:cs="Arial"/>
          <w:bCs/>
          <w:sz w:val="24"/>
          <w:szCs w:val="24"/>
        </w:rPr>
        <w:t>.</w:t>
      </w:r>
      <w:r w:rsidRPr="000635DB">
        <w:rPr>
          <w:rFonts w:ascii="Arial" w:hAnsi="Arial" w:cs="Arial"/>
          <w:bCs/>
          <w:sz w:val="24"/>
          <w:szCs w:val="24"/>
        </w:rPr>
        <w:t xml:space="preserve"> </w:t>
      </w:r>
    </w:p>
    <w:p w:rsidR="00346EEF" w:rsidRPr="00FA17EE" w:rsidRDefault="00346EEF" w:rsidP="00A61C4F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33630F" w:rsidRPr="000635DB" w:rsidRDefault="00A61C4F" w:rsidP="003363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b/>
          <w:sz w:val="24"/>
          <w:szCs w:val="24"/>
        </w:rPr>
        <w:t xml:space="preserve">South Ribble </w:t>
      </w:r>
    </w:p>
    <w:p w:rsidR="0033630F" w:rsidRDefault="0033630F" w:rsidP="0033630F">
      <w:pPr>
        <w:pStyle w:val="ListParagraph"/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FF0000"/>
          <w:sz w:val="24"/>
          <w:szCs w:val="24"/>
        </w:rPr>
      </w:pPr>
    </w:p>
    <w:p w:rsidR="000635DB" w:rsidRPr="000635DB" w:rsidRDefault="000635DB" w:rsidP="000635DB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b/>
          <w:bCs/>
          <w:sz w:val="24"/>
          <w:szCs w:val="24"/>
        </w:rPr>
        <w:t>April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0635DB">
        <w:rPr>
          <w:rFonts w:ascii="Arial" w:hAnsi="Arial" w:cs="Arial"/>
          <w:bCs/>
          <w:sz w:val="24"/>
          <w:szCs w:val="24"/>
        </w:rPr>
        <w:t xml:space="preserve">Miller Homes commenced on site at Croston Road South and the Brindle Road site was </w:t>
      </w:r>
      <w:r w:rsidRPr="000635DB">
        <w:rPr>
          <w:rFonts w:ascii="Arial" w:hAnsi="Arial" w:cs="Arial"/>
          <w:sz w:val="24"/>
          <w:szCs w:val="24"/>
        </w:rPr>
        <w:t>completed</w:t>
      </w:r>
      <w:r w:rsidR="00C70F22">
        <w:rPr>
          <w:rFonts w:ascii="Arial" w:hAnsi="Arial" w:cs="Arial"/>
          <w:sz w:val="24"/>
          <w:szCs w:val="24"/>
        </w:rPr>
        <w:t xml:space="preserve"> with </w:t>
      </w:r>
      <w:r w:rsidR="00DF575C">
        <w:rPr>
          <w:rFonts w:ascii="Arial" w:hAnsi="Arial" w:cs="Arial"/>
          <w:sz w:val="24"/>
          <w:szCs w:val="24"/>
        </w:rPr>
        <w:t>46</w:t>
      </w:r>
      <w:r w:rsidR="00C70F22">
        <w:rPr>
          <w:rFonts w:ascii="Arial" w:hAnsi="Arial" w:cs="Arial"/>
          <w:sz w:val="24"/>
          <w:szCs w:val="24"/>
        </w:rPr>
        <w:t xml:space="preserve"> new homes being delivered</w:t>
      </w:r>
      <w:r w:rsidRPr="000635DB">
        <w:rPr>
          <w:rFonts w:ascii="Arial" w:hAnsi="Arial" w:cs="Arial"/>
          <w:sz w:val="24"/>
          <w:szCs w:val="24"/>
        </w:rPr>
        <w:t>. This is the first HCA site to be completed since the City Deal commenced and is a great achievement</w:t>
      </w:r>
      <w:r w:rsidR="00223604">
        <w:rPr>
          <w:rFonts w:ascii="Arial" w:hAnsi="Arial" w:cs="Arial"/>
          <w:sz w:val="24"/>
          <w:szCs w:val="24"/>
        </w:rPr>
        <w:t>.</w:t>
      </w:r>
    </w:p>
    <w:p w:rsidR="000635DB" w:rsidRPr="000635DB" w:rsidRDefault="000635DB" w:rsidP="000635D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0635DB" w:rsidRPr="000635DB" w:rsidRDefault="000635DB" w:rsidP="000635DB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0635DB">
        <w:rPr>
          <w:rFonts w:ascii="Arial" w:hAnsi="Arial" w:cs="Arial"/>
          <w:b/>
          <w:bCs/>
          <w:sz w:val="24"/>
          <w:szCs w:val="24"/>
        </w:rPr>
        <w:t>June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0635DB">
        <w:rPr>
          <w:rFonts w:ascii="Arial" w:hAnsi="Arial" w:cs="Arial"/>
          <w:bCs/>
          <w:sz w:val="24"/>
          <w:szCs w:val="24"/>
        </w:rPr>
        <w:t>The first HCA grant payment of £504k was made to LCC due to the site completion at Brindle Road</w:t>
      </w:r>
      <w:r w:rsidR="00223604">
        <w:rPr>
          <w:rFonts w:ascii="Arial" w:hAnsi="Arial" w:cs="Arial"/>
          <w:bCs/>
          <w:sz w:val="24"/>
          <w:szCs w:val="24"/>
        </w:rPr>
        <w:t>.</w:t>
      </w:r>
      <w:r w:rsidRPr="000635DB">
        <w:rPr>
          <w:rFonts w:ascii="Arial" w:hAnsi="Arial" w:cs="Arial"/>
          <w:bCs/>
          <w:sz w:val="24"/>
          <w:szCs w:val="24"/>
        </w:rPr>
        <w:t xml:space="preserve"> </w:t>
      </w:r>
    </w:p>
    <w:p w:rsidR="000635DB" w:rsidRPr="000635DB" w:rsidRDefault="000635DB" w:rsidP="000635D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0635DB" w:rsidRPr="000635DB" w:rsidRDefault="000635DB" w:rsidP="000635DB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July: </w:t>
      </w:r>
      <w:r w:rsidR="00C70F22">
        <w:rPr>
          <w:rFonts w:ascii="Arial" w:hAnsi="Arial" w:cs="Arial"/>
          <w:sz w:val="24"/>
          <w:szCs w:val="24"/>
        </w:rPr>
        <w:t xml:space="preserve">A number of challenging technical issues were resolved through positive </w:t>
      </w:r>
      <w:r w:rsidRPr="000635DB">
        <w:rPr>
          <w:rFonts w:ascii="Arial" w:hAnsi="Arial" w:cs="Arial"/>
          <w:sz w:val="24"/>
          <w:szCs w:val="24"/>
        </w:rPr>
        <w:t>meetings held between HCA, SRBC and LCC regarding the delivery of the spine road at Croston Road North</w:t>
      </w:r>
      <w:r w:rsidR="00223604">
        <w:rPr>
          <w:rFonts w:ascii="Arial" w:hAnsi="Arial" w:cs="Arial"/>
          <w:sz w:val="24"/>
          <w:szCs w:val="24"/>
        </w:rPr>
        <w:t>.</w:t>
      </w:r>
    </w:p>
    <w:p w:rsidR="000635DB" w:rsidRPr="000635DB" w:rsidRDefault="000635DB" w:rsidP="000635D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0635DB" w:rsidRPr="000635DB" w:rsidRDefault="000635DB" w:rsidP="000635DB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0635DB">
        <w:rPr>
          <w:rFonts w:ascii="Arial" w:hAnsi="Arial" w:cs="Arial"/>
          <w:b/>
          <w:bCs/>
          <w:sz w:val="24"/>
          <w:szCs w:val="24"/>
        </w:rPr>
        <w:lastRenderedPageBreak/>
        <w:t>August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0635DB">
        <w:rPr>
          <w:rFonts w:ascii="Arial" w:hAnsi="Arial" w:cs="Arial"/>
          <w:bCs/>
          <w:sz w:val="24"/>
          <w:szCs w:val="24"/>
        </w:rPr>
        <w:t xml:space="preserve">Internal HCA approval </w:t>
      </w:r>
      <w:r w:rsidR="00C70F22">
        <w:rPr>
          <w:rFonts w:ascii="Arial" w:hAnsi="Arial" w:cs="Arial"/>
          <w:bCs/>
          <w:sz w:val="24"/>
          <w:szCs w:val="24"/>
        </w:rPr>
        <w:t>obtained</w:t>
      </w:r>
      <w:r w:rsidRPr="000635DB">
        <w:rPr>
          <w:rFonts w:ascii="Arial" w:hAnsi="Arial" w:cs="Arial"/>
          <w:bCs/>
          <w:sz w:val="24"/>
          <w:szCs w:val="24"/>
        </w:rPr>
        <w:t xml:space="preserve"> </w:t>
      </w:r>
      <w:r w:rsidR="00C70F22">
        <w:rPr>
          <w:rFonts w:ascii="Arial" w:hAnsi="Arial" w:cs="Arial"/>
          <w:bCs/>
          <w:sz w:val="24"/>
          <w:szCs w:val="24"/>
        </w:rPr>
        <w:t xml:space="preserve">to enter into the </w:t>
      </w:r>
      <w:r w:rsidRPr="000635DB">
        <w:rPr>
          <w:rFonts w:ascii="Arial" w:hAnsi="Arial" w:cs="Arial"/>
          <w:bCs/>
          <w:sz w:val="24"/>
          <w:szCs w:val="24"/>
        </w:rPr>
        <w:t>collaboration agreement with Taylor Wimpey at Pickering’s Farm</w:t>
      </w:r>
      <w:r w:rsidR="00223604">
        <w:rPr>
          <w:rFonts w:ascii="Arial" w:hAnsi="Arial" w:cs="Arial"/>
          <w:bCs/>
          <w:sz w:val="24"/>
          <w:szCs w:val="24"/>
        </w:rPr>
        <w:t>.</w:t>
      </w:r>
    </w:p>
    <w:p w:rsidR="000635DB" w:rsidRPr="000635DB" w:rsidRDefault="000635DB" w:rsidP="000635D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F91505" w:rsidRPr="00F91505" w:rsidRDefault="000635DB" w:rsidP="000635DB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 w:rsidRPr="000635DB">
        <w:rPr>
          <w:rFonts w:ascii="Arial" w:hAnsi="Arial" w:cs="Arial"/>
          <w:b/>
          <w:bCs/>
          <w:sz w:val="24"/>
          <w:szCs w:val="24"/>
        </w:rPr>
        <w:t>September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0635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35DB">
        <w:rPr>
          <w:rFonts w:ascii="Arial" w:hAnsi="Arial" w:cs="Arial"/>
          <w:bCs/>
          <w:sz w:val="24"/>
          <w:szCs w:val="24"/>
        </w:rPr>
        <w:t>Altcar Lane</w:t>
      </w:r>
      <w:r w:rsidR="00C70F22">
        <w:rPr>
          <w:rFonts w:ascii="Arial" w:hAnsi="Arial" w:cs="Arial"/>
          <w:bCs/>
          <w:sz w:val="24"/>
          <w:szCs w:val="24"/>
        </w:rPr>
        <w:t xml:space="preserve">. The </w:t>
      </w:r>
      <w:r w:rsidRPr="000635DB">
        <w:rPr>
          <w:rFonts w:ascii="Arial" w:hAnsi="Arial" w:cs="Arial"/>
          <w:bCs/>
          <w:sz w:val="24"/>
          <w:szCs w:val="24"/>
        </w:rPr>
        <w:t>outline planning permission was approved at Planning Committee for 200 new homes, including 80 Starter Homes</w:t>
      </w:r>
      <w:r w:rsidR="00F91505">
        <w:rPr>
          <w:rFonts w:ascii="Arial" w:hAnsi="Arial" w:cs="Arial"/>
          <w:bCs/>
          <w:sz w:val="24"/>
          <w:szCs w:val="24"/>
        </w:rPr>
        <w:t xml:space="preserve"> and a condition that the developer includes a range and training opportunities throughout the construction of the site. Altcar Lane will be one the first HCA sites to be delivered via Direct Commissioning</w:t>
      </w:r>
      <w:r w:rsidR="00223604">
        <w:rPr>
          <w:rFonts w:ascii="Arial" w:hAnsi="Arial" w:cs="Arial"/>
          <w:bCs/>
          <w:sz w:val="24"/>
          <w:szCs w:val="24"/>
        </w:rPr>
        <w:t>.</w:t>
      </w:r>
    </w:p>
    <w:p w:rsidR="00F91505" w:rsidRPr="00F91505" w:rsidRDefault="00F91505" w:rsidP="00F91505">
      <w:pPr>
        <w:pStyle w:val="ListParagraph"/>
        <w:rPr>
          <w:rFonts w:ascii="Arial" w:hAnsi="Arial" w:cs="Arial"/>
          <w:sz w:val="24"/>
          <w:szCs w:val="24"/>
        </w:rPr>
      </w:pPr>
    </w:p>
    <w:p w:rsidR="000635DB" w:rsidRPr="000635DB" w:rsidRDefault="00CF2B9A" w:rsidP="000635DB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Pickerings Farm: </w:t>
      </w:r>
      <w:r w:rsidR="000635DB" w:rsidRPr="000635DB">
        <w:rPr>
          <w:rFonts w:ascii="Arial" w:hAnsi="Arial" w:cs="Arial"/>
          <w:sz w:val="24"/>
          <w:szCs w:val="24"/>
        </w:rPr>
        <w:t>A positive meeting was held with Network Rail regarding the bridge matters and road alignment. Technical Studies to support the site Master planning work are to commence shortly</w:t>
      </w:r>
      <w:r w:rsidR="00223604">
        <w:rPr>
          <w:rFonts w:ascii="Arial" w:hAnsi="Arial" w:cs="Arial"/>
          <w:sz w:val="24"/>
          <w:szCs w:val="24"/>
        </w:rPr>
        <w:t>.</w:t>
      </w:r>
      <w:r w:rsidR="000635DB" w:rsidRPr="000635DB">
        <w:rPr>
          <w:rFonts w:ascii="Arial" w:hAnsi="Arial" w:cs="Arial"/>
          <w:sz w:val="24"/>
          <w:szCs w:val="24"/>
        </w:rPr>
        <w:t xml:space="preserve"> </w:t>
      </w:r>
    </w:p>
    <w:p w:rsidR="000635DB" w:rsidRPr="00FA17EE" w:rsidRDefault="000635DB" w:rsidP="0033630F">
      <w:pPr>
        <w:pStyle w:val="ListParagraph"/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FF0000"/>
          <w:sz w:val="24"/>
          <w:szCs w:val="24"/>
        </w:rPr>
      </w:pPr>
    </w:p>
    <w:p w:rsidR="00C31043" w:rsidRPr="00F47A3C" w:rsidRDefault="00C31043" w:rsidP="0053513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b/>
          <w:sz w:val="24"/>
          <w:szCs w:val="24"/>
        </w:rPr>
      </w:pPr>
      <w:r w:rsidRPr="00F47A3C">
        <w:rPr>
          <w:rFonts w:ascii="Arial" w:hAnsi="Arial" w:cs="Arial"/>
          <w:b/>
          <w:sz w:val="24"/>
          <w:szCs w:val="24"/>
        </w:rPr>
        <w:t xml:space="preserve">HCA Investment </w:t>
      </w:r>
      <w:r w:rsidR="00F47A3C">
        <w:rPr>
          <w:rFonts w:ascii="Arial" w:hAnsi="Arial" w:cs="Arial"/>
          <w:b/>
          <w:sz w:val="24"/>
          <w:szCs w:val="24"/>
        </w:rPr>
        <w:t xml:space="preserve">into the </w:t>
      </w:r>
      <w:r w:rsidR="00F47A3C" w:rsidRPr="00F47A3C">
        <w:rPr>
          <w:rFonts w:ascii="Arial" w:hAnsi="Arial" w:cs="Arial"/>
          <w:b/>
          <w:sz w:val="24"/>
          <w:szCs w:val="24"/>
        </w:rPr>
        <w:t>City Deal</w:t>
      </w:r>
    </w:p>
    <w:p w:rsidR="00C31043" w:rsidRPr="00FA17EE" w:rsidRDefault="00C31043" w:rsidP="0053513F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391AB9" w:rsidRDefault="00391AB9" w:rsidP="00391AB9">
      <w:pPr>
        <w:pStyle w:val="ListParagraph"/>
        <w:numPr>
          <w:ilvl w:val="1"/>
          <w:numId w:val="19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June 2016, a key milestone was achieved with the HCA making the first grant payment of £504,000 from the Brindle Road site</w:t>
      </w:r>
      <w:r w:rsidRPr="00391AB9">
        <w:rPr>
          <w:rFonts w:ascii="Arial" w:hAnsi="Arial" w:cs="Arial"/>
          <w:sz w:val="24"/>
          <w:szCs w:val="24"/>
        </w:rPr>
        <w:t xml:space="preserve"> to City Deal. </w:t>
      </w:r>
    </w:p>
    <w:p w:rsidR="00391AB9" w:rsidRDefault="00391AB9" w:rsidP="00391AB9">
      <w:pPr>
        <w:pStyle w:val="ListParagraph"/>
        <w:spacing w:after="0"/>
        <w:ind w:left="709"/>
        <w:rPr>
          <w:rFonts w:ascii="Arial" w:hAnsi="Arial" w:cs="Arial"/>
          <w:sz w:val="24"/>
          <w:szCs w:val="24"/>
        </w:rPr>
      </w:pPr>
    </w:p>
    <w:p w:rsidR="00F47A3C" w:rsidRPr="00391AB9" w:rsidRDefault="00B63B73" w:rsidP="00391AB9">
      <w:pPr>
        <w:pStyle w:val="ListParagraph"/>
        <w:numPr>
          <w:ilvl w:val="1"/>
          <w:numId w:val="19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volume of activity on multiple HCA sites, the second grant payment of £1,330,623 followed shortly after in August from the Eastway </w:t>
      </w:r>
      <w:r w:rsidR="00B846E3">
        <w:rPr>
          <w:rFonts w:ascii="Arial" w:hAnsi="Arial" w:cs="Arial"/>
          <w:sz w:val="24"/>
          <w:szCs w:val="24"/>
        </w:rPr>
        <w:t xml:space="preserve">site. This was </w:t>
      </w:r>
      <w:r>
        <w:rPr>
          <w:rFonts w:ascii="Arial" w:hAnsi="Arial" w:cs="Arial"/>
          <w:sz w:val="24"/>
          <w:szCs w:val="24"/>
        </w:rPr>
        <w:t xml:space="preserve">accompanied by two loan payments totalling </w:t>
      </w:r>
      <w:r w:rsidR="00F47A3C" w:rsidRPr="00391AB9">
        <w:rPr>
          <w:rFonts w:ascii="Arial" w:hAnsi="Arial" w:cs="Arial"/>
          <w:sz w:val="24"/>
          <w:szCs w:val="24"/>
        </w:rPr>
        <w:t>£</w:t>
      </w:r>
      <w:r w:rsidR="00391AB9">
        <w:rPr>
          <w:rFonts w:ascii="Arial" w:hAnsi="Arial" w:cs="Arial"/>
          <w:sz w:val="24"/>
          <w:szCs w:val="24"/>
        </w:rPr>
        <w:t>1,754,587</w:t>
      </w:r>
      <w:r w:rsidR="00F47A3C" w:rsidRPr="00391AB9">
        <w:rPr>
          <w:rFonts w:ascii="Arial" w:hAnsi="Arial" w:cs="Arial"/>
          <w:sz w:val="24"/>
          <w:szCs w:val="24"/>
        </w:rPr>
        <w:t xml:space="preserve"> loan </w:t>
      </w:r>
      <w:r>
        <w:rPr>
          <w:rFonts w:ascii="Arial" w:hAnsi="Arial" w:cs="Arial"/>
          <w:sz w:val="24"/>
          <w:szCs w:val="24"/>
        </w:rPr>
        <w:t xml:space="preserve">for the year to date. This brings total HCA </w:t>
      </w:r>
      <w:r w:rsidRPr="00B63B73">
        <w:rPr>
          <w:rFonts w:ascii="Arial" w:hAnsi="Arial" w:cs="Arial"/>
          <w:sz w:val="24"/>
          <w:szCs w:val="24"/>
        </w:rPr>
        <w:t>investment</w:t>
      </w:r>
      <w:r w:rsidRPr="00B63B73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B63B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 first two quarters of 2016/17 to £3,589,210.</w:t>
      </w:r>
    </w:p>
    <w:p w:rsidR="0034353C" w:rsidRPr="0034353C" w:rsidRDefault="0034353C" w:rsidP="0034353C">
      <w:pPr>
        <w:pStyle w:val="ListParagraph"/>
        <w:spacing w:after="0"/>
        <w:ind w:left="709"/>
        <w:rPr>
          <w:rFonts w:ascii="Arial" w:hAnsi="Arial" w:cs="Arial"/>
          <w:sz w:val="24"/>
          <w:szCs w:val="24"/>
        </w:rPr>
      </w:pPr>
    </w:p>
    <w:p w:rsidR="0034353C" w:rsidRPr="0034353C" w:rsidRDefault="0034353C" w:rsidP="00B4617E">
      <w:pPr>
        <w:pStyle w:val="ListParagraph"/>
        <w:numPr>
          <w:ilvl w:val="1"/>
          <w:numId w:val="19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34353C">
        <w:rPr>
          <w:rFonts w:ascii="Arial" w:hAnsi="Arial" w:cs="Arial"/>
          <w:sz w:val="24"/>
          <w:szCs w:val="24"/>
        </w:rPr>
        <w:t>This recent investment takes the HCA’s</w:t>
      </w:r>
      <w:r w:rsidR="00B846E3">
        <w:rPr>
          <w:rFonts w:ascii="Arial" w:hAnsi="Arial" w:cs="Arial"/>
          <w:sz w:val="24"/>
          <w:szCs w:val="24"/>
        </w:rPr>
        <w:t xml:space="preserve"> total loan payment to date to just over £14m</w:t>
      </w:r>
      <w:r w:rsidRPr="0034353C">
        <w:rPr>
          <w:rFonts w:ascii="Arial" w:hAnsi="Arial" w:cs="Arial"/>
          <w:sz w:val="24"/>
          <w:szCs w:val="24"/>
        </w:rPr>
        <w:t xml:space="preserve"> with grant payments now totalling £</w:t>
      </w:r>
      <w:r w:rsidR="00B846E3">
        <w:rPr>
          <w:rFonts w:ascii="Arial" w:hAnsi="Arial" w:cs="Arial"/>
          <w:sz w:val="24"/>
          <w:szCs w:val="24"/>
        </w:rPr>
        <w:t>1.8m</w:t>
      </w:r>
      <w:r w:rsidRPr="0034353C">
        <w:rPr>
          <w:rFonts w:ascii="Arial" w:hAnsi="Arial" w:cs="Arial"/>
          <w:sz w:val="24"/>
          <w:szCs w:val="24"/>
        </w:rPr>
        <w:t xml:space="preserve"> (See table 1 below)</w:t>
      </w:r>
      <w:r>
        <w:rPr>
          <w:rFonts w:ascii="Arial" w:hAnsi="Arial" w:cs="Arial"/>
          <w:sz w:val="24"/>
          <w:szCs w:val="24"/>
        </w:rPr>
        <w:t>.</w:t>
      </w:r>
      <w:r w:rsidR="00CC24B5">
        <w:rPr>
          <w:rFonts w:ascii="Arial" w:hAnsi="Arial" w:cs="Arial"/>
          <w:sz w:val="24"/>
          <w:szCs w:val="24"/>
        </w:rPr>
        <w:t xml:space="preserve"> </w:t>
      </w:r>
    </w:p>
    <w:p w:rsidR="0033630F" w:rsidRPr="00FA17EE" w:rsidRDefault="0033630F" w:rsidP="0033630F">
      <w:pPr>
        <w:pStyle w:val="ListParagraph"/>
        <w:spacing w:after="0"/>
        <w:ind w:left="709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665"/>
        <w:gridCol w:w="1666"/>
        <w:gridCol w:w="1665"/>
        <w:gridCol w:w="1666"/>
      </w:tblGrid>
      <w:tr w:rsidR="00B846E3" w:rsidRPr="00FA17EE" w:rsidTr="00B846E3">
        <w:trPr>
          <w:trHeight w:hRule="exact" w:val="454"/>
        </w:trPr>
        <w:tc>
          <w:tcPr>
            <w:tcW w:w="2552" w:type="dxa"/>
            <w:shd w:val="clear" w:color="auto" w:fill="1F497D"/>
          </w:tcPr>
          <w:p w:rsidR="00A61C4F" w:rsidRPr="00391AB9" w:rsidRDefault="00B40B46" w:rsidP="00652D0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1AB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665" w:type="dxa"/>
            <w:shd w:val="clear" w:color="auto" w:fill="1F497D"/>
          </w:tcPr>
          <w:p w:rsidR="00A61C4F" w:rsidRPr="00391AB9" w:rsidRDefault="00A61C4F" w:rsidP="00652D0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1AB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Receipt</w:t>
            </w:r>
          </w:p>
        </w:tc>
        <w:tc>
          <w:tcPr>
            <w:tcW w:w="1666" w:type="dxa"/>
            <w:shd w:val="clear" w:color="auto" w:fill="1F497D"/>
          </w:tcPr>
          <w:p w:rsidR="00A61C4F" w:rsidRPr="00391AB9" w:rsidRDefault="00A61C4F" w:rsidP="00652D0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1AB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Loan (£)</w:t>
            </w:r>
          </w:p>
        </w:tc>
        <w:tc>
          <w:tcPr>
            <w:tcW w:w="1665" w:type="dxa"/>
            <w:shd w:val="clear" w:color="auto" w:fill="1F497D"/>
          </w:tcPr>
          <w:p w:rsidR="00A61C4F" w:rsidRPr="00391AB9" w:rsidRDefault="00A61C4F" w:rsidP="00652D0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1AB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Grant (£)</w:t>
            </w:r>
          </w:p>
        </w:tc>
        <w:tc>
          <w:tcPr>
            <w:tcW w:w="1666" w:type="dxa"/>
            <w:shd w:val="clear" w:color="auto" w:fill="1F497D"/>
          </w:tcPr>
          <w:p w:rsidR="00A61C4F" w:rsidRPr="00391AB9" w:rsidRDefault="00A61C4F" w:rsidP="00391AB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1AB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Total (£) </w:t>
            </w:r>
          </w:p>
        </w:tc>
      </w:tr>
      <w:tr w:rsidR="00B846E3" w:rsidRPr="00FA17EE" w:rsidTr="00B846E3">
        <w:trPr>
          <w:trHeight w:hRule="exact" w:val="454"/>
        </w:trPr>
        <w:tc>
          <w:tcPr>
            <w:tcW w:w="2552" w:type="dxa"/>
            <w:shd w:val="clear" w:color="auto" w:fill="C6D9F1"/>
            <w:vAlign w:val="center"/>
          </w:tcPr>
          <w:p w:rsidR="00A61C4F" w:rsidRPr="00391AB9" w:rsidRDefault="00391AB9" w:rsidP="00652D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1AB9">
              <w:rPr>
                <w:rFonts w:ascii="Arial" w:hAnsi="Arial" w:cs="Arial"/>
                <w:b/>
                <w:sz w:val="24"/>
                <w:szCs w:val="24"/>
              </w:rPr>
              <w:t>2016/17</w:t>
            </w:r>
            <w:r w:rsidR="00A61C4F" w:rsidRPr="00391A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3B73">
              <w:rPr>
                <w:rFonts w:ascii="Arial" w:hAnsi="Arial" w:cs="Arial"/>
                <w:b/>
                <w:sz w:val="24"/>
                <w:szCs w:val="24"/>
              </w:rPr>
              <w:t>(to 30.9.16)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61C4F" w:rsidRPr="00B846E3" w:rsidRDefault="00B63B73" w:rsidP="00B63B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6E3">
              <w:rPr>
                <w:rFonts w:ascii="Arial" w:hAnsi="Arial" w:cs="Arial"/>
                <w:sz w:val="24"/>
                <w:szCs w:val="24"/>
              </w:rPr>
              <w:t>£4,474,560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61C4F" w:rsidRPr="00B846E3" w:rsidRDefault="00B63B73" w:rsidP="00B63B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6E3">
              <w:rPr>
                <w:rFonts w:ascii="Arial" w:hAnsi="Arial" w:cs="Arial"/>
                <w:sz w:val="24"/>
                <w:szCs w:val="24"/>
              </w:rPr>
              <w:t>£1,754,587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61C4F" w:rsidRPr="00B846E3" w:rsidRDefault="00B63B73" w:rsidP="00B63B73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6E3">
              <w:rPr>
                <w:rFonts w:ascii="Arial" w:hAnsi="Arial" w:cs="Arial"/>
                <w:sz w:val="24"/>
                <w:szCs w:val="24"/>
              </w:rPr>
              <w:t>£1,834,623</w:t>
            </w:r>
          </w:p>
        </w:tc>
        <w:tc>
          <w:tcPr>
            <w:tcW w:w="1666" w:type="dxa"/>
            <w:shd w:val="clear" w:color="auto" w:fill="C6D9F1"/>
            <w:vAlign w:val="center"/>
          </w:tcPr>
          <w:p w:rsidR="00A61C4F" w:rsidRPr="00B846E3" w:rsidRDefault="00B846E3" w:rsidP="00B846E3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846E3">
              <w:rPr>
                <w:rFonts w:ascii="Arial" w:hAnsi="Arial" w:cs="Arial"/>
                <w:b/>
                <w:sz w:val="24"/>
                <w:szCs w:val="24"/>
              </w:rPr>
              <w:t>£3,589,210</w:t>
            </w:r>
          </w:p>
        </w:tc>
      </w:tr>
      <w:tr w:rsidR="00285625" w:rsidRPr="00FA17EE" w:rsidTr="00B846E3">
        <w:trPr>
          <w:trHeight w:hRule="exact" w:val="454"/>
        </w:trPr>
        <w:tc>
          <w:tcPr>
            <w:tcW w:w="2552" w:type="dxa"/>
            <w:shd w:val="clear" w:color="auto" w:fill="C6D9F1"/>
            <w:vAlign w:val="center"/>
          </w:tcPr>
          <w:p w:rsidR="00285625" w:rsidRPr="00391AB9" w:rsidRDefault="00285625" w:rsidP="0028562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2016/17 Forecast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85625" w:rsidRPr="00B846E3" w:rsidRDefault="00285625" w:rsidP="00B63B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£11,284,299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85625" w:rsidRPr="00B846E3" w:rsidRDefault="00285625" w:rsidP="00B63B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£5,135,390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85625" w:rsidRPr="00B846E3" w:rsidRDefault="00285625" w:rsidP="00B63B73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£5,931,029</w:t>
            </w:r>
          </w:p>
        </w:tc>
        <w:tc>
          <w:tcPr>
            <w:tcW w:w="1666" w:type="dxa"/>
            <w:shd w:val="clear" w:color="auto" w:fill="C6D9F1"/>
            <w:vAlign w:val="center"/>
          </w:tcPr>
          <w:p w:rsidR="00285625" w:rsidRPr="00B846E3" w:rsidRDefault="00285625" w:rsidP="00B846E3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£11,066,419</w:t>
            </w:r>
          </w:p>
        </w:tc>
      </w:tr>
      <w:tr w:rsidR="00B846E3" w:rsidRPr="00FA17EE" w:rsidTr="00B846E3">
        <w:trPr>
          <w:trHeight w:hRule="exact" w:val="454"/>
        </w:trPr>
        <w:tc>
          <w:tcPr>
            <w:tcW w:w="2552" w:type="dxa"/>
            <w:shd w:val="clear" w:color="auto" w:fill="C6D9F1"/>
            <w:vAlign w:val="center"/>
          </w:tcPr>
          <w:p w:rsidR="00A61C4F" w:rsidRPr="00B63B73" w:rsidRDefault="00391AB9" w:rsidP="00391AB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B73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="00285625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B63B73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B40B46" w:rsidRPr="00B63B7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63B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40B46" w:rsidRPr="00B63B73">
              <w:rPr>
                <w:rFonts w:ascii="Arial" w:hAnsi="Arial" w:cs="Arial"/>
                <w:b/>
                <w:sz w:val="24"/>
                <w:szCs w:val="24"/>
              </w:rPr>
              <w:t xml:space="preserve">.16 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61C4F" w:rsidRPr="00B846E3" w:rsidRDefault="00B63B73" w:rsidP="00B63B73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6E3">
              <w:rPr>
                <w:rFonts w:ascii="Arial" w:hAnsi="Arial" w:cs="Arial"/>
                <w:sz w:val="24"/>
                <w:szCs w:val="24"/>
              </w:rPr>
              <w:t>£10,940,355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61C4F" w:rsidRPr="00B846E3" w:rsidRDefault="00B63B73" w:rsidP="00B63B73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6E3">
              <w:rPr>
                <w:rFonts w:ascii="Arial" w:hAnsi="Arial" w:cs="Arial"/>
                <w:sz w:val="24"/>
                <w:szCs w:val="24"/>
              </w:rPr>
              <w:t>£</w:t>
            </w:r>
            <w:r w:rsidR="00B846E3" w:rsidRPr="00B846E3">
              <w:rPr>
                <w:rFonts w:ascii="Arial" w:hAnsi="Arial" w:cs="Arial"/>
                <w:sz w:val="24"/>
                <w:szCs w:val="24"/>
              </w:rPr>
              <w:t>14,161,928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61C4F" w:rsidRPr="00B846E3" w:rsidRDefault="00B846E3" w:rsidP="00B63B73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6E3">
              <w:rPr>
                <w:rFonts w:ascii="Arial" w:hAnsi="Arial" w:cs="Arial"/>
                <w:sz w:val="24"/>
                <w:szCs w:val="24"/>
              </w:rPr>
              <w:t>£1,834,623</w:t>
            </w:r>
          </w:p>
        </w:tc>
        <w:tc>
          <w:tcPr>
            <w:tcW w:w="1666" w:type="dxa"/>
            <w:shd w:val="clear" w:color="auto" w:fill="C6D9F1"/>
            <w:vAlign w:val="center"/>
          </w:tcPr>
          <w:p w:rsidR="00A61C4F" w:rsidRPr="00B846E3" w:rsidRDefault="00B846E3" w:rsidP="00B63B73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846E3">
              <w:rPr>
                <w:rFonts w:ascii="Arial" w:hAnsi="Arial" w:cs="Arial"/>
                <w:b/>
                <w:sz w:val="24"/>
                <w:szCs w:val="24"/>
              </w:rPr>
              <w:t>£15,996,551</w:t>
            </w:r>
          </w:p>
        </w:tc>
      </w:tr>
    </w:tbl>
    <w:p w:rsidR="001D6A9D" w:rsidRPr="00391AB9" w:rsidRDefault="0034353C" w:rsidP="0034353C">
      <w:pPr>
        <w:spacing w:after="0"/>
        <w:rPr>
          <w:rFonts w:ascii="Arial" w:hAnsi="Arial" w:cs="Arial"/>
          <w:sz w:val="20"/>
          <w:szCs w:val="20"/>
        </w:rPr>
      </w:pPr>
      <w:r w:rsidRPr="00391AB9">
        <w:rPr>
          <w:rFonts w:ascii="Arial" w:hAnsi="Arial" w:cs="Arial"/>
          <w:sz w:val="20"/>
          <w:szCs w:val="20"/>
        </w:rPr>
        <w:t>Table 1: HCA investment into City Deal</w:t>
      </w:r>
    </w:p>
    <w:p w:rsidR="0033630F" w:rsidRPr="00FA17EE" w:rsidRDefault="0033630F" w:rsidP="0033630F">
      <w:pPr>
        <w:spacing w:after="0"/>
        <w:ind w:left="709"/>
        <w:rPr>
          <w:rFonts w:ascii="Arial" w:hAnsi="Arial" w:cs="Arial"/>
          <w:b/>
          <w:color w:val="FF0000"/>
          <w:sz w:val="24"/>
          <w:szCs w:val="24"/>
        </w:rPr>
      </w:pPr>
    </w:p>
    <w:p w:rsidR="00CC24B5" w:rsidRDefault="00CC24B5" w:rsidP="00D215F8">
      <w:pPr>
        <w:numPr>
          <w:ilvl w:val="1"/>
          <w:numId w:val="19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HCA has now secured deals with developers with contracted receipts totalling £44.9m. These completed deals will result in the investment of £22.5m grant and £18.7m of loan into the City Deal.</w:t>
      </w:r>
    </w:p>
    <w:p w:rsidR="00CC24B5" w:rsidRDefault="00CC24B5" w:rsidP="00CC24B5">
      <w:pPr>
        <w:spacing w:after="0"/>
        <w:ind w:left="709"/>
        <w:rPr>
          <w:rFonts w:ascii="Arial" w:hAnsi="Arial" w:cs="Arial"/>
          <w:sz w:val="24"/>
          <w:szCs w:val="24"/>
        </w:rPr>
      </w:pPr>
    </w:p>
    <w:p w:rsidR="00D215F8" w:rsidRDefault="00285625" w:rsidP="00D215F8">
      <w:pPr>
        <w:numPr>
          <w:ilvl w:val="1"/>
          <w:numId w:val="19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D215F8">
        <w:rPr>
          <w:rFonts w:ascii="Arial" w:hAnsi="Arial" w:cs="Arial"/>
          <w:sz w:val="24"/>
          <w:szCs w:val="24"/>
        </w:rPr>
        <w:t xml:space="preserve">Strong market activity, particularly in Preston East, has led to an increase in the forecast receipt on one site. As a result of this, it is expected that there will be a significant grant payment which </w:t>
      </w:r>
      <w:r w:rsidR="00C26487">
        <w:rPr>
          <w:rFonts w:ascii="Arial" w:hAnsi="Arial" w:cs="Arial"/>
          <w:sz w:val="24"/>
          <w:szCs w:val="24"/>
        </w:rPr>
        <w:t xml:space="preserve">should see </w:t>
      </w:r>
      <w:r w:rsidRPr="00D215F8">
        <w:rPr>
          <w:rFonts w:ascii="Arial" w:hAnsi="Arial" w:cs="Arial"/>
          <w:sz w:val="24"/>
          <w:szCs w:val="24"/>
        </w:rPr>
        <w:t xml:space="preserve">the £37.5m ‘grant cap’ being achieved </w:t>
      </w:r>
      <w:r w:rsidR="00D215F8" w:rsidRPr="00D215F8">
        <w:rPr>
          <w:rFonts w:ascii="Arial" w:hAnsi="Arial" w:cs="Arial"/>
          <w:sz w:val="24"/>
          <w:szCs w:val="24"/>
        </w:rPr>
        <w:t xml:space="preserve">in 2020/ 21, more than a year </w:t>
      </w:r>
      <w:r w:rsidRPr="00D215F8">
        <w:rPr>
          <w:rFonts w:ascii="Arial" w:hAnsi="Arial" w:cs="Arial"/>
          <w:sz w:val="24"/>
          <w:szCs w:val="24"/>
        </w:rPr>
        <w:t>e</w:t>
      </w:r>
      <w:r w:rsidR="00D215F8" w:rsidRPr="00D215F8">
        <w:rPr>
          <w:rFonts w:ascii="Arial" w:hAnsi="Arial" w:cs="Arial"/>
          <w:sz w:val="24"/>
          <w:szCs w:val="24"/>
        </w:rPr>
        <w:t>arlier than originally forecast (see graph below)</w:t>
      </w:r>
      <w:r w:rsidR="00D215F8">
        <w:rPr>
          <w:rFonts w:ascii="Arial" w:hAnsi="Arial" w:cs="Arial"/>
          <w:sz w:val="24"/>
          <w:szCs w:val="24"/>
        </w:rPr>
        <w:t>.</w:t>
      </w:r>
    </w:p>
    <w:p w:rsidR="009C1196" w:rsidRDefault="009C1196" w:rsidP="009C1196">
      <w:pPr>
        <w:spacing w:after="0"/>
        <w:ind w:left="709"/>
        <w:rPr>
          <w:rFonts w:ascii="Arial" w:hAnsi="Arial" w:cs="Arial"/>
          <w:sz w:val="24"/>
          <w:szCs w:val="24"/>
        </w:rPr>
      </w:pPr>
    </w:p>
    <w:p w:rsidR="009C1196" w:rsidRDefault="009C1196" w:rsidP="009C1196">
      <w:pPr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BC5129C" wp14:editId="4267C4A9">
            <wp:extent cx="5731510" cy="3186430"/>
            <wp:effectExtent l="0" t="0" r="2159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1196" w:rsidRPr="008F2EA2" w:rsidRDefault="009C1196" w:rsidP="009C1196">
      <w:pPr>
        <w:ind w:firstLine="709"/>
        <w:rPr>
          <w:noProof/>
          <w:color w:val="FF0000"/>
          <w:lang w:eastAsia="en-GB"/>
        </w:rPr>
      </w:pPr>
      <w:r w:rsidRPr="008F2EA2">
        <w:rPr>
          <w:rFonts w:ascii="Arial" w:hAnsi="Arial" w:cs="Arial"/>
          <w:b/>
          <w:sz w:val="20"/>
          <w:szCs w:val="20"/>
        </w:rPr>
        <w:t>Graph 1:</w:t>
      </w:r>
      <w:r w:rsidRPr="008F2EA2">
        <w:rPr>
          <w:rFonts w:ascii="Arial" w:hAnsi="Arial" w:cs="Arial"/>
          <w:sz w:val="20"/>
          <w:szCs w:val="20"/>
        </w:rPr>
        <w:t xml:space="preserve"> HCA cumulative grant investment into City Deal </w:t>
      </w:r>
    </w:p>
    <w:p w:rsidR="009C1196" w:rsidRPr="009C1196" w:rsidRDefault="003B2F49" w:rsidP="003B2F4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b/>
          <w:sz w:val="24"/>
          <w:szCs w:val="24"/>
        </w:rPr>
      </w:pPr>
      <w:r w:rsidRPr="00AC2D0D">
        <w:rPr>
          <w:rFonts w:ascii="Arial" w:hAnsi="Arial" w:cs="Arial"/>
          <w:sz w:val="24"/>
          <w:szCs w:val="24"/>
        </w:rPr>
        <w:t xml:space="preserve">As we have disposed of sites, we have been working closely with </w:t>
      </w:r>
      <w:r>
        <w:rPr>
          <w:rFonts w:ascii="Arial" w:hAnsi="Arial" w:cs="Arial"/>
          <w:sz w:val="24"/>
          <w:szCs w:val="24"/>
        </w:rPr>
        <w:t xml:space="preserve">our internal </w:t>
      </w:r>
      <w:r w:rsidRPr="00AC2D0D">
        <w:rPr>
          <w:rFonts w:ascii="Arial" w:hAnsi="Arial" w:cs="Arial"/>
          <w:sz w:val="24"/>
          <w:szCs w:val="24"/>
        </w:rPr>
        <w:t xml:space="preserve">finance and legal colleagues to ensure the </w:t>
      </w:r>
      <w:r>
        <w:rPr>
          <w:rFonts w:ascii="Arial" w:hAnsi="Arial" w:cs="Arial"/>
          <w:sz w:val="24"/>
          <w:szCs w:val="24"/>
        </w:rPr>
        <w:t>payment process in the Funding Agreement</w:t>
      </w:r>
      <w:r w:rsidRPr="00AC2D0D">
        <w:rPr>
          <w:rFonts w:ascii="Arial" w:hAnsi="Arial" w:cs="Arial"/>
          <w:sz w:val="24"/>
          <w:szCs w:val="24"/>
        </w:rPr>
        <w:t xml:space="preserve"> </w:t>
      </w:r>
      <w:r w:rsidR="0023050E">
        <w:rPr>
          <w:rFonts w:ascii="Arial" w:hAnsi="Arial" w:cs="Arial"/>
          <w:sz w:val="24"/>
          <w:szCs w:val="24"/>
        </w:rPr>
        <w:t xml:space="preserve">(FA) </w:t>
      </w:r>
      <w:r w:rsidRPr="00AC2D0D">
        <w:rPr>
          <w:rFonts w:ascii="Arial" w:hAnsi="Arial" w:cs="Arial"/>
          <w:sz w:val="24"/>
          <w:szCs w:val="24"/>
        </w:rPr>
        <w:t>is followed</w:t>
      </w:r>
      <w:r>
        <w:rPr>
          <w:rFonts w:ascii="Arial" w:hAnsi="Arial" w:cs="Arial"/>
          <w:sz w:val="24"/>
          <w:szCs w:val="24"/>
        </w:rPr>
        <w:t xml:space="preserve"> correctly</w:t>
      </w:r>
      <w:r w:rsidRPr="00AC2D0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</w:t>
      </w:r>
      <w:r w:rsidRPr="00AC2D0D">
        <w:rPr>
          <w:rFonts w:ascii="Arial" w:hAnsi="Arial" w:cs="Arial"/>
          <w:sz w:val="24"/>
          <w:szCs w:val="24"/>
        </w:rPr>
        <w:t>s part of this detailed work</w:t>
      </w:r>
      <w:r>
        <w:rPr>
          <w:rFonts w:ascii="Arial" w:hAnsi="Arial" w:cs="Arial"/>
          <w:sz w:val="24"/>
          <w:szCs w:val="24"/>
        </w:rPr>
        <w:t>, it has become evident that on some of the more</w:t>
      </w:r>
      <w:r w:rsidRPr="00AC2D0D">
        <w:rPr>
          <w:rFonts w:ascii="Arial" w:hAnsi="Arial" w:cs="Arial"/>
          <w:sz w:val="24"/>
          <w:szCs w:val="24"/>
        </w:rPr>
        <w:t xml:space="preserve"> complex site</w:t>
      </w:r>
      <w:r>
        <w:rPr>
          <w:rFonts w:ascii="Arial" w:hAnsi="Arial" w:cs="Arial"/>
          <w:sz w:val="24"/>
          <w:szCs w:val="24"/>
        </w:rPr>
        <w:t>s</w:t>
      </w:r>
      <w:r w:rsidRPr="00AC2D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there are a number of </w:t>
      </w:r>
      <w:r w:rsidRPr="00AC2D0D">
        <w:rPr>
          <w:rFonts w:ascii="Arial" w:hAnsi="Arial" w:cs="Arial"/>
          <w:sz w:val="24"/>
          <w:szCs w:val="24"/>
        </w:rPr>
        <w:t xml:space="preserve"> minor </w:t>
      </w:r>
      <w:r>
        <w:rPr>
          <w:rFonts w:ascii="Arial" w:hAnsi="Arial" w:cs="Arial"/>
          <w:sz w:val="24"/>
          <w:szCs w:val="24"/>
        </w:rPr>
        <w:t xml:space="preserve">errors </w:t>
      </w:r>
      <w:r w:rsidRPr="00AC2D0D">
        <w:rPr>
          <w:rFonts w:ascii="Arial" w:hAnsi="Arial" w:cs="Arial"/>
          <w:sz w:val="24"/>
          <w:szCs w:val="24"/>
        </w:rPr>
        <w:t>contained within Schedule 3 of the FA which now need rectifying</w:t>
      </w:r>
      <w:r w:rsidR="009C1196">
        <w:rPr>
          <w:rFonts w:ascii="Arial" w:hAnsi="Arial" w:cs="Arial"/>
          <w:sz w:val="24"/>
          <w:szCs w:val="24"/>
        </w:rPr>
        <w:t>.</w:t>
      </w:r>
    </w:p>
    <w:p w:rsidR="009C1196" w:rsidRPr="009C1196" w:rsidRDefault="009C1196" w:rsidP="009C1196">
      <w:pPr>
        <w:pStyle w:val="ListParagraph"/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9C1196" w:rsidRPr="00C06686" w:rsidRDefault="003B2F49" w:rsidP="009C1196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b/>
          <w:sz w:val="24"/>
          <w:szCs w:val="24"/>
        </w:rPr>
      </w:pPr>
      <w:r w:rsidRPr="00CC270E">
        <w:rPr>
          <w:rFonts w:ascii="Arial" w:hAnsi="Arial" w:cs="Arial"/>
          <w:sz w:val="24"/>
          <w:szCs w:val="24"/>
        </w:rPr>
        <w:t xml:space="preserve">We have sought internal legal </w:t>
      </w:r>
      <w:r w:rsidR="009C1196" w:rsidRPr="00CC270E">
        <w:rPr>
          <w:rFonts w:ascii="Arial" w:hAnsi="Arial" w:cs="Arial"/>
          <w:sz w:val="24"/>
          <w:szCs w:val="24"/>
        </w:rPr>
        <w:t>advice wh</w:t>
      </w:r>
      <w:r w:rsidR="008A438C" w:rsidRPr="00CC270E">
        <w:rPr>
          <w:rFonts w:ascii="Arial" w:hAnsi="Arial" w:cs="Arial"/>
          <w:sz w:val="24"/>
          <w:szCs w:val="24"/>
        </w:rPr>
        <w:t>ich</w:t>
      </w:r>
      <w:r w:rsidR="009C1196" w:rsidRPr="00CC270E">
        <w:rPr>
          <w:rFonts w:ascii="Arial" w:hAnsi="Arial" w:cs="Arial"/>
          <w:sz w:val="24"/>
          <w:szCs w:val="24"/>
        </w:rPr>
        <w:t xml:space="preserve"> has </w:t>
      </w:r>
      <w:r w:rsidR="00CC270E" w:rsidRPr="00CC270E">
        <w:rPr>
          <w:rFonts w:ascii="Arial" w:hAnsi="Arial" w:cs="Arial"/>
          <w:sz w:val="24"/>
          <w:szCs w:val="24"/>
        </w:rPr>
        <w:t>confirmed this</w:t>
      </w:r>
      <w:r w:rsidR="00832E3E" w:rsidRPr="00CC270E">
        <w:rPr>
          <w:rFonts w:ascii="Arial" w:hAnsi="Arial" w:cs="Arial"/>
          <w:sz w:val="24"/>
          <w:szCs w:val="24"/>
        </w:rPr>
        <w:t xml:space="preserve"> is</w:t>
      </w:r>
      <w:r w:rsidR="009C1196" w:rsidRPr="00CC270E">
        <w:rPr>
          <w:rFonts w:ascii="Arial" w:hAnsi="Arial" w:cs="Arial"/>
          <w:sz w:val="24"/>
          <w:szCs w:val="24"/>
        </w:rPr>
        <w:t xml:space="preserve"> </w:t>
      </w:r>
      <w:r w:rsidR="00832E3E" w:rsidRPr="00CC270E">
        <w:rPr>
          <w:rFonts w:ascii="Arial" w:hAnsi="Arial" w:cs="Arial"/>
          <w:sz w:val="24"/>
          <w:szCs w:val="24"/>
        </w:rPr>
        <w:t xml:space="preserve">a </w:t>
      </w:r>
      <w:r w:rsidR="009C1196" w:rsidRPr="00CC270E">
        <w:rPr>
          <w:rFonts w:ascii="Arial" w:hAnsi="Arial" w:cs="Arial"/>
          <w:sz w:val="24"/>
          <w:szCs w:val="24"/>
        </w:rPr>
        <w:t>rectification of inaccurate information</w:t>
      </w:r>
      <w:r w:rsidR="00832E3E" w:rsidRPr="00CC270E">
        <w:rPr>
          <w:rFonts w:ascii="Arial" w:hAnsi="Arial" w:cs="Arial"/>
          <w:sz w:val="24"/>
          <w:szCs w:val="24"/>
        </w:rPr>
        <w:t>.</w:t>
      </w:r>
      <w:r w:rsidR="009C1196" w:rsidRPr="00CC270E">
        <w:rPr>
          <w:rFonts w:ascii="Arial" w:hAnsi="Arial" w:cs="Arial"/>
          <w:sz w:val="24"/>
          <w:szCs w:val="24"/>
        </w:rPr>
        <w:t xml:space="preserve"> </w:t>
      </w:r>
      <w:r w:rsidR="008543E1" w:rsidRPr="00CC270E">
        <w:rPr>
          <w:rFonts w:ascii="Arial" w:hAnsi="Arial" w:cs="Arial"/>
          <w:sz w:val="24"/>
          <w:szCs w:val="24"/>
        </w:rPr>
        <w:t xml:space="preserve"> The changes relate to</w:t>
      </w:r>
      <w:r w:rsidR="00832E3E" w:rsidRPr="00CC270E">
        <w:rPr>
          <w:rFonts w:ascii="Arial" w:hAnsi="Arial" w:cs="Arial"/>
          <w:sz w:val="24"/>
          <w:szCs w:val="24"/>
        </w:rPr>
        <w:t xml:space="preserve"> </w:t>
      </w:r>
      <w:r w:rsidR="008543E1" w:rsidRPr="00CC270E">
        <w:rPr>
          <w:rFonts w:ascii="Arial" w:hAnsi="Arial" w:cs="Arial"/>
          <w:sz w:val="24"/>
          <w:szCs w:val="24"/>
        </w:rPr>
        <w:t xml:space="preserve">boundary errors, map legends and base values. </w:t>
      </w:r>
      <w:r w:rsidR="009C1196" w:rsidRPr="00CC270E">
        <w:rPr>
          <w:rFonts w:ascii="Arial" w:hAnsi="Arial" w:cs="Arial"/>
          <w:sz w:val="24"/>
          <w:szCs w:val="24"/>
        </w:rPr>
        <w:t xml:space="preserve">The impact of these corrections will result in a </w:t>
      </w:r>
      <w:r w:rsidR="00755F58" w:rsidRPr="00CC270E">
        <w:rPr>
          <w:rFonts w:ascii="Arial" w:hAnsi="Arial" w:cs="Arial"/>
          <w:sz w:val="24"/>
          <w:szCs w:val="24"/>
        </w:rPr>
        <w:t xml:space="preserve">small </w:t>
      </w:r>
      <w:r w:rsidR="009C1196" w:rsidRPr="00CC270E">
        <w:rPr>
          <w:rFonts w:ascii="Arial" w:hAnsi="Arial" w:cs="Arial"/>
          <w:sz w:val="24"/>
          <w:szCs w:val="24"/>
        </w:rPr>
        <w:t>reduction</w:t>
      </w:r>
      <w:r w:rsidR="00755F58" w:rsidRPr="00CC270E">
        <w:rPr>
          <w:rFonts w:ascii="Arial" w:hAnsi="Arial" w:cs="Arial"/>
          <w:sz w:val="24"/>
          <w:szCs w:val="24"/>
        </w:rPr>
        <w:t xml:space="preserve"> in </w:t>
      </w:r>
      <w:r w:rsidR="009C1196" w:rsidRPr="00CC270E">
        <w:rPr>
          <w:rFonts w:ascii="Arial" w:hAnsi="Arial" w:cs="Arial"/>
          <w:sz w:val="24"/>
          <w:szCs w:val="24"/>
        </w:rPr>
        <w:t>loan payable of £221,</w:t>
      </w:r>
      <w:r w:rsidR="009C1196" w:rsidRPr="00C06686">
        <w:rPr>
          <w:rFonts w:ascii="Arial" w:hAnsi="Arial" w:cs="Arial"/>
          <w:sz w:val="24"/>
          <w:szCs w:val="24"/>
        </w:rPr>
        <w:t>349</w:t>
      </w:r>
      <w:r w:rsidR="00755F58">
        <w:rPr>
          <w:rFonts w:ascii="Arial" w:hAnsi="Arial" w:cs="Arial"/>
          <w:sz w:val="24"/>
          <w:szCs w:val="24"/>
        </w:rPr>
        <w:t xml:space="preserve"> on one site</w:t>
      </w:r>
      <w:r w:rsidR="00223604">
        <w:rPr>
          <w:rFonts w:ascii="Arial" w:hAnsi="Arial" w:cs="Arial"/>
          <w:sz w:val="24"/>
          <w:szCs w:val="24"/>
        </w:rPr>
        <w:t xml:space="preserve"> (Preston East Sector D)</w:t>
      </w:r>
      <w:r w:rsidR="009C1196" w:rsidRPr="00C06686">
        <w:rPr>
          <w:rFonts w:ascii="Arial" w:hAnsi="Arial" w:cs="Arial"/>
          <w:sz w:val="24"/>
          <w:szCs w:val="24"/>
        </w:rPr>
        <w:t>, but</w:t>
      </w:r>
      <w:r w:rsidR="00755F58">
        <w:rPr>
          <w:rFonts w:ascii="Arial" w:hAnsi="Arial" w:cs="Arial"/>
          <w:sz w:val="24"/>
          <w:szCs w:val="24"/>
        </w:rPr>
        <w:t xml:space="preserve"> as a result, increase the </w:t>
      </w:r>
      <w:r w:rsidR="00C06686" w:rsidRPr="00C06686">
        <w:rPr>
          <w:rFonts w:ascii="Arial" w:hAnsi="Arial" w:cs="Arial"/>
          <w:sz w:val="24"/>
          <w:szCs w:val="24"/>
        </w:rPr>
        <w:t xml:space="preserve">grant payment </w:t>
      </w:r>
      <w:r w:rsidR="00755F58">
        <w:rPr>
          <w:rFonts w:ascii="Arial" w:hAnsi="Arial" w:cs="Arial"/>
          <w:sz w:val="24"/>
          <w:szCs w:val="24"/>
        </w:rPr>
        <w:t xml:space="preserve">attributed to this site by </w:t>
      </w:r>
      <w:r w:rsidR="00C06686" w:rsidRPr="00C06686">
        <w:rPr>
          <w:rFonts w:ascii="Arial" w:hAnsi="Arial" w:cs="Arial"/>
          <w:sz w:val="24"/>
          <w:szCs w:val="24"/>
        </w:rPr>
        <w:t xml:space="preserve">over </w:t>
      </w:r>
      <w:r w:rsidR="009C1196" w:rsidRPr="00C06686">
        <w:rPr>
          <w:rFonts w:ascii="Arial" w:hAnsi="Arial" w:cs="Arial"/>
          <w:sz w:val="24"/>
          <w:szCs w:val="24"/>
        </w:rPr>
        <w:t>£1m</w:t>
      </w:r>
      <w:r w:rsidR="00755F58">
        <w:rPr>
          <w:rFonts w:ascii="Arial" w:hAnsi="Arial" w:cs="Arial"/>
          <w:sz w:val="24"/>
          <w:szCs w:val="24"/>
        </w:rPr>
        <w:t>. This</w:t>
      </w:r>
      <w:r w:rsidR="009C1196" w:rsidRPr="00C06686">
        <w:rPr>
          <w:rFonts w:ascii="Arial" w:hAnsi="Arial" w:cs="Arial"/>
          <w:sz w:val="24"/>
          <w:szCs w:val="24"/>
        </w:rPr>
        <w:t xml:space="preserve"> will result in the £37.5m cap being achieved at an earlier date.</w:t>
      </w:r>
      <w:r w:rsidR="00CC24B5">
        <w:rPr>
          <w:rFonts w:ascii="Arial" w:hAnsi="Arial" w:cs="Arial"/>
          <w:sz w:val="24"/>
          <w:szCs w:val="24"/>
        </w:rPr>
        <w:t xml:space="preserve"> </w:t>
      </w:r>
      <w:r w:rsidR="009C1196" w:rsidRPr="00C06686">
        <w:rPr>
          <w:rFonts w:ascii="Arial" w:hAnsi="Arial" w:cs="Arial"/>
          <w:sz w:val="24"/>
          <w:szCs w:val="24"/>
        </w:rPr>
        <w:t xml:space="preserve">This issue has been raised at IDSG and will </w:t>
      </w:r>
      <w:r w:rsidR="00C06686" w:rsidRPr="00C06686">
        <w:rPr>
          <w:rFonts w:ascii="Arial" w:hAnsi="Arial" w:cs="Arial"/>
          <w:sz w:val="24"/>
          <w:szCs w:val="24"/>
        </w:rPr>
        <w:t xml:space="preserve">be worked through by officers to </w:t>
      </w:r>
      <w:r w:rsidR="00CC24B5">
        <w:rPr>
          <w:rFonts w:ascii="Arial" w:hAnsi="Arial" w:cs="Arial"/>
          <w:sz w:val="24"/>
          <w:szCs w:val="24"/>
        </w:rPr>
        <w:t>reso</w:t>
      </w:r>
      <w:r w:rsidR="00C06686" w:rsidRPr="00C06686">
        <w:rPr>
          <w:rFonts w:ascii="Arial" w:hAnsi="Arial" w:cs="Arial"/>
          <w:sz w:val="24"/>
          <w:szCs w:val="24"/>
        </w:rPr>
        <w:t xml:space="preserve">lve. </w:t>
      </w:r>
      <w:r w:rsidR="00832E3E">
        <w:rPr>
          <w:rFonts w:ascii="Arial" w:hAnsi="Arial" w:cs="Arial"/>
          <w:sz w:val="24"/>
          <w:szCs w:val="24"/>
        </w:rPr>
        <w:t xml:space="preserve">HCA </w:t>
      </w:r>
      <w:r w:rsidR="00527F05">
        <w:rPr>
          <w:rFonts w:ascii="Arial" w:hAnsi="Arial" w:cs="Arial"/>
          <w:sz w:val="24"/>
          <w:szCs w:val="24"/>
        </w:rPr>
        <w:t xml:space="preserve">have approved </w:t>
      </w:r>
      <w:r w:rsidR="00E76A92">
        <w:rPr>
          <w:rFonts w:ascii="Arial" w:hAnsi="Arial" w:cs="Arial"/>
          <w:sz w:val="24"/>
          <w:szCs w:val="24"/>
        </w:rPr>
        <w:t xml:space="preserve">these rectifications </w:t>
      </w:r>
      <w:r w:rsidR="006D1769">
        <w:rPr>
          <w:rFonts w:ascii="Arial" w:hAnsi="Arial" w:cs="Arial"/>
          <w:sz w:val="24"/>
          <w:szCs w:val="24"/>
        </w:rPr>
        <w:t>and confirm that</w:t>
      </w:r>
      <w:r w:rsidR="00527F05">
        <w:rPr>
          <w:rFonts w:ascii="Arial" w:hAnsi="Arial" w:cs="Arial"/>
          <w:sz w:val="24"/>
          <w:szCs w:val="24"/>
        </w:rPr>
        <w:t xml:space="preserve"> </w:t>
      </w:r>
      <w:r w:rsidR="00832E3E">
        <w:rPr>
          <w:rFonts w:ascii="Arial" w:hAnsi="Arial" w:cs="Arial"/>
          <w:sz w:val="24"/>
          <w:szCs w:val="24"/>
        </w:rPr>
        <w:t>DCLG</w:t>
      </w:r>
      <w:r w:rsidR="00E76A92">
        <w:rPr>
          <w:rFonts w:ascii="Arial" w:hAnsi="Arial" w:cs="Arial"/>
          <w:sz w:val="24"/>
          <w:szCs w:val="24"/>
        </w:rPr>
        <w:t xml:space="preserve"> </w:t>
      </w:r>
      <w:r w:rsidR="00E76A92">
        <w:rPr>
          <w:rFonts w:ascii="Arial" w:hAnsi="Arial" w:cs="Arial"/>
          <w:sz w:val="24"/>
          <w:szCs w:val="24"/>
        </w:rPr>
        <w:lastRenderedPageBreak/>
        <w:t>approval i</w:t>
      </w:r>
      <w:r w:rsidR="006D1769">
        <w:rPr>
          <w:rFonts w:ascii="Arial" w:hAnsi="Arial" w:cs="Arial"/>
          <w:sz w:val="24"/>
          <w:szCs w:val="24"/>
        </w:rPr>
        <w:t xml:space="preserve">s not required due to the nature of the minor corrections </w:t>
      </w:r>
      <w:r w:rsidR="00E76A92">
        <w:rPr>
          <w:rFonts w:ascii="Arial" w:hAnsi="Arial" w:cs="Arial"/>
          <w:sz w:val="24"/>
          <w:szCs w:val="24"/>
        </w:rPr>
        <w:t>being made</w:t>
      </w:r>
      <w:r w:rsidR="00832E3E">
        <w:rPr>
          <w:rFonts w:ascii="Arial" w:hAnsi="Arial" w:cs="Arial"/>
          <w:sz w:val="24"/>
          <w:szCs w:val="24"/>
        </w:rPr>
        <w:t>.</w:t>
      </w:r>
    </w:p>
    <w:p w:rsidR="009C1196" w:rsidRPr="00D215F8" w:rsidRDefault="009C1196" w:rsidP="009C1196">
      <w:pPr>
        <w:spacing w:after="0"/>
        <w:ind w:left="709"/>
        <w:rPr>
          <w:rFonts w:ascii="Arial" w:hAnsi="Arial" w:cs="Arial"/>
          <w:sz w:val="24"/>
          <w:szCs w:val="24"/>
        </w:rPr>
      </w:pPr>
    </w:p>
    <w:p w:rsidR="004A0498" w:rsidRPr="00B846E3" w:rsidRDefault="004A0498" w:rsidP="0053513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720"/>
        <w:rPr>
          <w:rFonts w:ascii="Arial" w:hAnsi="Arial" w:cs="Arial"/>
          <w:b/>
          <w:sz w:val="24"/>
          <w:szCs w:val="24"/>
        </w:rPr>
      </w:pPr>
      <w:r w:rsidRPr="00B846E3">
        <w:rPr>
          <w:rFonts w:ascii="Arial" w:hAnsi="Arial" w:cs="Arial"/>
          <w:b/>
          <w:sz w:val="24"/>
          <w:szCs w:val="24"/>
        </w:rPr>
        <w:t xml:space="preserve">Risks and Emerging Issues </w:t>
      </w:r>
    </w:p>
    <w:p w:rsidR="00FA17EE" w:rsidRPr="001B5708" w:rsidRDefault="00FA17EE" w:rsidP="00FA17EE">
      <w:pPr>
        <w:pStyle w:val="ListParagraph"/>
        <w:autoSpaceDE w:val="0"/>
        <w:autoSpaceDN w:val="0"/>
        <w:adjustRightInd w:val="0"/>
        <w:spacing w:after="0"/>
        <w:ind w:left="1418" w:hanging="709"/>
        <w:rPr>
          <w:rFonts w:ascii="Arial" w:hAnsi="Arial" w:cs="Arial"/>
          <w:b/>
          <w:sz w:val="24"/>
          <w:szCs w:val="24"/>
        </w:rPr>
      </w:pPr>
    </w:p>
    <w:p w:rsidR="00FA17EE" w:rsidRPr="001B5708" w:rsidRDefault="001B5708" w:rsidP="00FA17E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homes and the subsequent i</w:t>
      </w:r>
      <w:r w:rsidR="00FA17EE" w:rsidRPr="001B5708">
        <w:rPr>
          <w:rFonts w:ascii="Arial" w:hAnsi="Arial" w:cs="Arial"/>
          <w:sz w:val="24"/>
          <w:szCs w:val="24"/>
        </w:rPr>
        <w:t>nvestment from the HCA’s 11 sites are fundamental to the successful delivery of this 10 year Deal. We are</w:t>
      </w:r>
      <w:r>
        <w:rPr>
          <w:rFonts w:ascii="Arial" w:hAnsi="Arial" w:cs="Arial"/>
          <w:sz w:val="24"/>
          <w:szCs w:val="24"/>
        </w:rPr>
        <w:t xml:space="preserve"> currently</w:t>
      </w:r>
      <w:r w:rsidR="00FA17EE" w:rsidRPr="001B5708">
        <w:rPr>
          <w:rFonts w:ascii="Arial" w:hAnsi="Arial" w:cs="Arial"/>
          <w:sz w:val="24"/>
          <w:szCs w:val="24"/>
        </w:rPr>
        <w:t xml:space="preserve"> </w:t>
      </w:r>
      <w:r w:rsidR="007B0329" w:rsidRPr="001B5708">
        <w:rPr>
          <w:rFonts w:ascii="Arial" w:hAnsi="Arial" w:cs="Arial"/>
          <w:sz w:val="24"/>
          <w:szCs w:val="24"/>
        </w:rPr>
        <w:t xml:space="preserve">working with a consultant partner on a commission to </w:t>
      </w:r>
      <w:r w:rsidR="00FA17EE" w:rsidRPr="001B5708">
        <w:rPr>
          <w:rFonts w:ascii="Arial" w:hAnsi="Arial" w:cs="Arial"/>
          <w:sz w:val="24"/>
          <w:szCs w:val="24"/>
        </w:rPr>
        <w:t xml:space="preserve">undertake sensitivity testing to identify the potential implications of broader economic trends on our financial forecasting. </w:t>
      </w:r>
      <w:r w:rsidR="00755F58">
        <w:rPr>
          <w:rFonts w:ascii="Arial" w:hAnsi="Arial" w:cs="Arial"/>
          <w:sz w:val="24"/>
          <w:szCs w:val="24"/>
        </w:rPr>
        <w:t xml:space="preserve">This will be used to inform on delivery strategies to maximise receipts and deliver across the City Deal area. </w:t>
      </w:r>
    </w:p>
    <w:p w:rsidR="003C30E7" w:rsidRPr="001B5708" w:rsidRDefault="003C30E7" w:rsidP="003C30E7">
      <w:pPr>
        <w:pStyle w:val="ListParagraph"/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1B5708" w:rsidRPr="001B5708" w:rsidRDefault="007B0329" w:rsidP="001B570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b/>
          <w:sz w:val="24"/>
          <w:szCs w:val="24"/>
        </w:rPr>
      </w:pPr>
      <w:r w:rsidRPr="001B5708">
        <w:rPr>
          <w:rFonts w:ascii="Arial" w:hAnsi="Arial" w:cs="Arial"/>
          <w:sz w:val="24"/>
          <w:szCs w:val="24"/>
        </w:rPr>
        <w:t xml:space="preserve">The HCA are continuing to </w:t>
      </w:r>
      <w:r w:rsidR="00832E3E">
        <w:rPr>
          <w:rFonts w:ascii="Arial" w:hAnsi="Arial" w:cs="Arial"/>
          <w:sz w:val="24"/>
          <w:szCs w:val="24"/>
        </w:rPr>
        <w:t xml:space="preserve">explore </w:t>
      </w:r>
      <w:r w:rsidRPr="001B5708">
        <w:rPr>
          <w:rFonts w:ascii="Arial" w:hAnsi="Arial" w:cs="Arial"/>
          <w:sz w:val="24"/>
          <w:szCs w:val="24"/>
        </w:rPr>
        <w:t>new delivery approaches and have identified Altcar Lane for Direct Commissioning</w:t>
      </w:r>
      <w:r w:rsidR="00DF575C" w:rsidRPr="001B5708">
        <w:rPr>
          <w:rFonts w:ascii="Arial" w:hAnsi="Arial" w:cs="Arial"/>
          <w:sz w:val="24"/>
          <w:szCs w:val="24"/>
        </w:rPr>
        <w:t xml:space="preserve"> and</w:t>
      </w:r>
      <w:r w:rsidR="001B5708" w:rsidRPr="001B5708">
        <w:rPr>
          <w:rFonts w:ascii="Arial" w:hAnsi="Arial" w:cs="Arial"/>
          <w:sz w:val="24"/>
          <w:szCs w:val="24"/>
        </w:rPr>
        <w:t xml:space="preserve"> are considering this approach on other City Deal sites. Starter Homes schemes are being worked up with LA partners which</w:t>
      </w:r>
      <w:r w:rsidR="004403F7">
        <w:rPr>
          <w:rFonts w:ascii="Arial" w:hAnsi="Arial" w:cs="Arial"/>
          <w:sz w:val="24"/>
          <w:szCs w:val="24"/>
        </w:rPr>
        <w:t xml:space="preserve"> could bring new sites</w:t>
      </w:r>
      <w:r w:rsidR="001B5708" w:rsidRPr="001B5708">
        <w:rPr>
          <w:rFonts w:ascii="Arial" w:hAnsi="Arial" w:cs="Arial"/>
          <w:sz w:val="24"/>
          <w:szCs w:val="24"/>
        </w:rPr>
        <w:t xml:space="preserve"> into the Deal and help </w:t>
      </w:r>
      <w:r w:rsidR="003C30E7" w:rsidRPr="001B5708">
        <w:rPr>
          <w:rFonts w:ascii="Arial" w:hAnsi="Arial" w:cs="Arial"/>
          <w:sz w:val="24"/>
          <w:szCs w:val="24"/>
        </w:rPr>
        <w:t xml:space="preserve">maximise delivery on HCA sites. </w:t>
      </w:r>
    </w:p>
    <w:p w:rsidR="00AC2D0D" w:rsidRPr="00AC2D0D" w:rsidRDefault="00AC2D0D" w:rsidP="00AC2D0D">
      <w:pPr>
        <w:pStyle w:val="ListParagraph"/>
        <w:rPr>
          <w:rFonts w:ascii="Arial" w:hAnsi="Arial" w:cs="Arial"/>
          <w:sz w:val="24"/>
          <w:szCs w:val="24"/>
        </w:rPr>
      </w:pPr>
    </w:p>
    <w:p w:rsidR="00AC2D0D" w:rsidRPr="00CC270E" w:rsidRDefault="00AC2D0D" w:rsidP="00AC2D0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b/>
          <w:sz w:val="24"/>
          <w:szCs w:val="24"/>
        </w:rPr>
      </w:pPr>
      <w:r w:rsidRPr="00AC2D0D">
        <w:rPr>
          <w:rFonts w:ascii="Arial" w:hAnsi="Arial" w:cs="Arial"/>
          <w:sz w:val="24"/>
          <w:szCs w:val="24"/>
        </w:rPr>
        <w:t>Finally the HCA are encouraged by the continued demand and interest in our Central Lancashire land holdings. The local area continues to be a very active housing market</w:t>
      </w:r>
      <w:r>
        <w:rPr>
          <w:rFonts w:ascii="Arial" w:hAnsi="Arial" w:cs="Arial"/>
          <w:sz w:val="24"/>
          <w:szCs w:val="24"/>
        </w:rPr>
        <w:t xml:space="preserve"> and r</w:t>
      </w:r>
      <w:r w:rsidRPr="00AC2D0D">
        <w:rPr>
          <w:rFonts w:ascii="Arial" w:hAnsi="Arial" w:cs="Arial"/>
          <w:sz w:val="24"/>
          <w:szCs w:val="24"/>
        </w:rPr>
        <w:t xml:space="preserve">ecent soft market testing on HCA sites </w:t>
      </w:r>
      <w:r w:rsidR="00AA56D6">
        <w:rPr>
          <w:rFonts w:ascii="Arial" w:hAnsi="Arial" w:cs="Arial"/>
          <w:sz w:val="24"/>
          <w:szCs w:val="24"/>
        </w:rPr>
        <w:t>has resulted in</w:t>
      </w:r>
      <w:r w:rsidRPr="00AC2D0D">
        <w:rPr>
          <w:rFonts w:ascii="Arial" w:hAnsi="Arial" w:cs="Arial"/>
          <w:sz w:val="24"/>
          <w:szCs w:val="24"/>
        </w:rPr>
        <w:t xml:space="preserve"> positive feedback</w:t>
      </w:r>
      <w:r>
        <w:rPr>
          <w:rFonts w:ascii="Arial" w:hAnsi="Arial" w:cs="Arial"/>
          <w:sz w:val="24"/>
          <w:szCs w:val="24"/>
        </w:rPr>
        <w:t>.</w:t>
      </w:r>
      <w:r w:rsidRPr="00AC2D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recent tenders, bi</w:t>
      </w:r>
      <w:r w:rsidRPr="00AC2D0D">
        <w:rPr>
          <w:rFonts w:ascii="Arial" w:hAnsi="Arial" w:cs="Arial"/>
          <w:sz w:val="24"/>
          <w:szCs w:val="24"/>
        </w:rPr>
        <w:t xml:space="preserve">dders both on and off our developer panel have </w:t>
      </w:r>
      <w:r>
        <w:rPr>
          <w:rFonts w:ascii="Arial" w:hAnsi="Arial" w:cs="Arial"/>
          <w:sz w:val="24"/>
          <w:szCs w:val="24"/>
        </w:rPr>
        <w:t>registered</w:t>
      </w:r>
      <w:r w:rsidRPr="00AC2D0D">
        <w:rPr>
          <w:rFonts w:ascii="Arial" w:hAnsi="Arial" w:cs="Arial"/>
          <w:sz w:val="24"/>
          <w:szCs w:val="24"/>
        </w:rPr>
        <w:t xml:space="preserve"> strong interest in our sites. </w:t>
      </w:r>
    </w:p>
    <w:p w:rsidR="00775923" w:rsidRPr="00CC270E" w:rsidRDefault="00775923" w:rsidP="00CC270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75923" w:rsidRPr="00CC270E" w:rsidRDefault="00775923" w:rsidP="00AC2D0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b/>
          <w:sz w:val="24"/>
          <w:szCs w:val="24"/>
        </w:rPr>
      </w:pPr>
      <w:r w:rsidRPr="00CC270E">
        <w:rPr>
          <w:rFonts w:ascii="Arial" w:hAnsi="Arial" w:cs="Arial"/>
          <w:b/>
          <w:sz w:val="24"/>
          <w:szCs w:val="24"/>
        </w:rPr>
        <w:t xml:space="preserve">Broader HCA City Deal Activity </w:t>
      </w:r>
    </w:p>
    <w:p w:rsidR="00775923" w:rsidRPr="00CC270E" w:rsidRDefault="00775923" w:rsidP="00CC270E">
      <w:pPr>
        <w:pStyle w:val="ListParagraph"/>
        <w:rPr>
          <w:rFonts w:ascii="Arial" w:hAnsi="Arial" w:cs="Arial"/>
          <w:sz w:val="24"/>
          <w:szCs w:val="24"/>
        </w:rPr>
      </w:pPr>
    </w:p>
    <w:p w:rsidR="00775923" w:rsidRPr="00CC270E" w:rsidRDefault="005F341A" w:rsidP="00611B03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CC270E">
        <w:rPr>
          <w:rFonts w:ascii="Arial" w:hAnsi="Arial" w:cs="Arial"/>
          <w:sz w:val="24"/>
          <w:szCs w:val="24"/>
        </w:rPr>
        <w:t>As</w:t>
      </w:r>
      <w:r w:rsidR="00611B03" w:rsidRPr="00CC270E">
        <w:rPr>
          <w:rFonts w:ascii="Arial" w:hAnsi="Arial" w:cs="Arial"/>
          <w:sz w:val="24"/>
          <w:szCs w:val="24"/>
        </w:rPr>
        <w:t xml:space="preserve"> </w:t>
      </w:r>
      <w:r w:rsidRPr="00CC270E">
        <w:rPr>
          <w:rFonts w:ascii="Arial" w:hAnsi="Arial" w:cs="Arial"/>
          <w:sz w:val="24"/>
          <w:szCs w:val="24"/>
        </w:rPr>
        <w:t xml:space="preserve">well as working in </w:t>
      </w:r>
      <w:r w:rsidR="00454640" w:rsidRPr="00CC270E">
        <w:rPr>
          <w:rFonts w:ascii="Arial" w:hAnsi="Arial" w:cs="Arial"/>
          <w:sz w:val="24"/>
          <w:szCs w:val="24"/>
        </w:rPr>
        <w:t>partnership</w:t>
      </w:r>
      <w:r w:rsidRPr="00CC270E">
        <w:rPr>
          <w:rFonts w:ascii="Arial" w:hAnsi="Arial" w:cs="Arial"/>
          <w:sz w:val="24"/>
          <w:szCs w:val="24"/>
        </w:rPr>
        <w:t xml:space="preserve"> on the 11 HCA </w:t>
      </w:r>
      <w:r w:rsidR="00454640" w:rsidRPr="00CC270E">
        <w:rPr>
          <w:rFonts w:ascii="Arial" w:hAnsi="Arial" w:cs="Arial"/>
          <w:sz w:val="24"/>
          <w:szCs w:val="24"/>
        </w:rPr>
        <w:t>City</w:t>
      </w:r>
      <w:r w:rsidRPr="00CC270E">
        <w:rPr>
          <w:rFonts w:ascii="Arial" w:hAnsi="Arial" w:cs="Arial"/>
          <w:sz w:val="24"/>
          <w:szCs w:val="24"/>
        </w:rPr>
        <w:t xml:space="preserve"> Deal, the HCA are </w:t>
      </w:r>
      <w:r w:rsidR="00611B03" w:rsidRPr="00CC270E">
        <w:rPr>
          <w:rFonts w:ascii="Arial" w:hAnsi="Arial" w:cs="Arial"/>
          <w:sz w:val="24"/>
          <w:szCs w:val="24"/>
        </w:rPr>
        <w:t>engaged</w:t>
      </w:r>
      <w:r w:rsidR="00557F1C" w:rsidRPr="00CC270E">
        <w:rPr>
          <w:rFonts w:ascii="Arial" w:hAnsi="Arial" w:cs="Arial"/>
          <w:sz w:val="24"/>
          <w:szCs w:val="24"/>
        </w:rPr>
        <w:t xml:space="preserve"> </w:t>
      </w:r>
      <w:r w:rsidR="00B523F0">
        <w:rPr>
          <w:rFonts w:ascii="Arial" w:hAnsi="Arial" w:cs="Arial"/>
          <w:sz w:val="24"/>
          <w:szCs w:val="24"/>
        </w:rPr>
        <w:t>i</w:t>
      </w:r>
      <w:r w:rsidR="00557F1C" w:rsidRPr="00CC270E">
        <w:rPr>
          <w:rFonts w:ascii="Arial" w:hAnsi="Arial" w:cs="Arial"/>
          <w:sz w:val="24"/>
          <w:szCs w:val="24"/>
        </w:rPr>
        <w:t>n a</w:t>
      </w:r>
      <w:r w:rsidRPr="00CC270E">
        <w:rPr>
          <w:rFonts w:ascii="Arial" w:hAnsi="Arial" w:cs="Arial"/>
          <w:sz w:val="24"/>
          <w:szCs w:val="24"/>
        </w:rPr>
        <w:t xml:space="preserve"> number of projects across the City Deal area. HCA </w:t>
      </w:r>
      <w:r w:rsidR="00CC270E" w:rsidRPr="00CC270E">
        <w:rPr>
          <w:rFonts w:ascii="Arial" w:hAnsi="Arial" w:cs="Arial"/>
          <w:sz w:val="24"/>
          <w:szCs w:val="24"/>
        </w:rPr>
        <w:t xml:space="preserve">is actively promoting Starter </w:t>
      </w:r>
      <w:r w:rsidRPr="00CC270E">
        <w:rPr>
          <w:rFonts w:ascii="Arial" w:hAnsi="Arial" w:cs="Arial"/>
          <w:sz w:val="24"/>
          <w:szCs w:val="24"/>
        </w:rPr>
        <w:t xml:space="preserve">Home opportunities through the City Deal expression of interest </w:t>
      </w:r>
      <w:r w:rsidR="00611B03" w:rsidRPr="00CC270E">
        <w:rPr>
          <w:rFonts w:ascii="Arial" w:hAnsi="Arial" w:cs="Arial"/>
          <w:sz w:val="24"/>
          <w:szCs w:val="24"/>
        </w:rPr>
        <w:t xml:space="preserve">process </w:t>
      </w:r>
      <w:r w:rsidRPr="00CC270E">
        <w:rPr>
          <w:rFonts w:ascii="Arial" w:hAnsi="Arial" w:cs="Arial"/>
          <w:sz w:val="24"/>
          <w:szCs w:val="24"/>
        </w:rPr>
        <w:t xml:space="preserve">and actively seeking to </w:t>
      </w:r>
      <w:r w:rsidR="0062395E" w:rsidRPr="00CC270E">
        <w:rPr>
          <w:rFonts w:ascii="Arial" w:hAnsi="Arial" w:cs="Arial"/>
          <w:sz w:val="24"/>
          <w:szCs w:val="24"/>
        </w:rPr>
        <w:t>acquire</w:t>
      </w:r>
      <w:r w:rsidRPr="00CC270E">
        <w:rPr>
          <w:rFonts w:ascii="Arial" w:hAnsi="Arial" w:cs="Arial"/>
          <w:sz w:val="24"/>
          <w:szCs w:val="24"/>
        </w:rPr>
        <w:t xml:space="preserve"> privately owned sites to </w:t>
      </w:r>
      <w:r w:rsidR="00611B03" w:rsidRPr="00CC270E">
        <w:rPr>
          <w:rFonts w:ascii="Arial" w:hAnsi="Arial" w:cs="Arial"/>
          <w:sz w:val="24"/>
          <w:szCs w:val="24"/>
        </w:rPr>
        <w:t xml:space="preserve">affectively deliver Starter </w:t>
      </w:r>
      <w:r w:rsidR="00B523F0" w:rsidRPr="00CC270E">
        <w:rPr>
          <w:rFonts w:ascii="Arial" w:hAnsi="Arial" w:cs="Arial"/>
          <w:sz w:val="24"/>
          <w:szCs w:val="24"/>
        </w:rPr>
        <w:t>Homes</w:t>
      </w:r>
      <w:r w:rsidR="00B523F0">
        <w:rPr>
          <w:rFonts w:ascii="Arial" w:hAnsi="Arial" w:cs="Arial"/>
          <w:sz w:val="24"/>
          <w:szCs w:val="24"/>
        </w:rPr>
        <w:t xml:space="preserve"> throughout the area</w:t>
      </w:r>
      <w:r w:rsidRPr="00CC270E">
        <w:rPr>
          <w:rFonts w:ascii="Arial" w:hAnsi="Arial" w:cs="Arial"/>
          <w:sz w:val="24"/>
          <w:szCs w:val="24"/>
        </w:rPr>
        <w:t>. The Malting’s</w:t>
      </w:r>
      <w:r w:rsidR="00B523F0">
        <w:rPr>
          <w:rFonts w:ascii="Arial" w:hAnsi="Arial" w:cs="Arial"/>
          <w:sz w:val="24"/>
          <w:szCs w:val="24"/>
        </w:rPr>
        <w:t xml:space="preserve"> (South Ribble) planning application</w:t>
      </w:r>
      <w:r w:rsidRPr="00CC270E">
        <w:rPr>
          <w:rFonts w:ascii="Arial" w:hAnsi="Arial" w:cs="Arial"/>
          <w:sz w:val="24"/>
          <w:szCs w:val="24"/>
        </w:rPr>
        <w:t xml:space="preserve"> is to</w:t>
      </w:r>
      <w:r w:rsidR="00611B03" w:rsidRPr="00CC270E">
        <w:rPr>
          <w:rFonts w:ascii="Arial" w:hAnsi="Arial" w:cs="Arial"/>
          <w:sz w:val="24"/>
          <w:szCs w:val="24"/>
        </w:rPr>
        <w:t xml:space="preserve"> be presented at the</w:t>
      </w:r>
      <w:r w:rsidRPr="00CC270E">
        <w:rPr>
          <w:rFonts w:ascii="Arial" w:hAnsi="Arial" w:cs="Arial"/>
          <w:sz w:val="24"/>
          <w:szCs w:val="24"/>
        </w:rPr>
        <w:t xml:space="preserve"> Planning Committee in October </w:t>
      </w:r>
      <w:r w:rsidR="00611B03" w:rsidRPr="00CC270E">
        <w:rPr>
          <w:rFonts w:ascii="Arial" w:hAnsi="Arial" w:cs="Arial"/>
          <w:sz w:val="24"/>
          <w:szCs w:val="24"/>
        </w:rPr>
        <w:t xml:space="preserve">and </w:t>
      </w:r>
      <w:r w:rsidRPr="00CC270E">
        <w:rPr>
          <w:rFonts w:ascii="Arial" w:hAnsi="Arial" w:cs="Arial"/>
          <w:sz w:val="24"/>
          <w:szCs w:val="24"/>
        </w:rPr>
        <w:t>will be the first Starter Homes site in the North West.</w:t>
      </w:r>
    </w:p>
    <w:p w:rsidR="005F341A" w:rsidRPr="00CC270E" w:rsidRDefault="005F341A" w:rsidP="00CC270E">
      <w:pPr>
        <w:pStyle w:val="ListParagraph"/>
        <w:rPr>
          <w:rFonts w:ascii="Arial" w:hAnsi="Arial" w:cs="Arial"/>
          <w:sz w:val="24"/>
          <w:szCs w:val="24"/>
        </w:rPr>
      </w:pPr>
    </w:p>
    <w:p w:rsidR="006B66B4" w:rsidRDefault="00454640" w:rsidP="00AC2D0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CC270E">
        <w:rPr>
          <w:rFonts w:ascii="Arial" w:hAnsi="Arial" w:cs="Arial"/>
          <w:sz w:val="24"/>
          <w:szCs w:val="24"/>
        </w:rPr>
        <w:t xml:space="preserve">The HCA are working with partners to support the delivery of the Cuerden </w:t>
      </w:r>
      <w:r w:rsidR="00F31A40">
        <w:rPr>
          <w:rFonts w:ascii="Arial" w:hAnsi="Arial" w:cs="Arial"/>
          <w:sz w:val="24"/>
          <w:szCs w:val="24"/>
        </w:rPr>
        <w:t>S</w:t>
      </w:r>
      <w:r w:rsidRPr="00CC270E">
        <w:rPr>
          <w:rFonts w:ascii="Arial" w:hAnsi="Arial" w:cs="Arial"/>
          <w:sz w:val="24"/>
          <w:szCs w:val="24"/>
        </w:rPr>
        <w:t>trategi</w:t>
      </w:r>
      <w:r w:rsidR="00F31A40">
        <w:rPr>
          <w:rFonts w:ascii="Arial" w:hAnsi="Arial" w:cs="Arial"/>
          <w:sz w:val="24"/>
          <w:szCs w:val="24"/>
        </w:rPr>
        <w:t>c S</w:t>
      </w:r>
      <w:r w:rsidRPr="00CC270E">
        <w:rPr>
          <w:rFonts w:ascii="Arial" w:hAnsi="Arial" w:cs="Arial"/>
          <w:sz w:val="24"/>
          <w:szCs w:val="24"/>
        </w:rPr>
        <w:t xml:space="preserve">ite and Walton Park Link Road. </w:t>
      </w:r>
      <w:r w:rsidR="00A95F47">
        <w:rPr>
          <w:rFonts w:ascii="Arial" w:hAnsi="Arial" w:cs="Arial"/>
          <w:sz w:val="24"/>
          <w:szCs w:val="24"/>
        </w:rPr>
        <w:t xml:space="preserve">Both </w:t>
      </w:r>
      <w:r w:rsidR="00A2712C" w:rsidRPr="00CC270E">
        <w:rPr>
          <w:rFonts w:ascii="Arial" w:hAnsi="Arial" w:cs="Arial"/>
          <w:sz w:val="24"/>
          <w:szCs w:val="24"/>
        </w:rPr>
        <w:t xml:space="preserve">these projects </w:t>
      </w:r>
      <w:r w:rsidR="00A95F47">
        <w:rPr>
          <w:rFonts w:ascii="Arial" w:hAnsi="Arial" w:cs="Arial"/>
          <w:sz w:val="24"/>
          <w:szCs w:val="24"/>
        </w:rPr>
        <w:t>will deliver important</w:t>
      </w:r>
      <w:r w:rsidR="00611B03" w:rsidRPr="00CC270E">
        <w:rPr>
          <w:rFonts w:ascii="Arial" w:hAnsi="Arial" w:cs="Arial"/>
          <w:sz w:val="24"/>
          <w:szCs w:val="24"/>
        </w:rPr>
        <w:t xml:space="preserve"> infrastructure and </w:t>
      </w:r>
      <w:r w:rsidR="00A95F47">
        <w:rPr>
          <w:rFonts w:ascii="Arial" w:hAnsi="Arial" w:cs="Arial"/>
          <w:sz w:val="24"/>
          <w:szCs w:val="24"/>
        </w:rPr>
        <w:t xml:space="preserve">open up key </w:t>
      </w:r>
      <w:r w:rsidR="00611B03" w:rsidRPr="00CC270E">
        <w:rPr>
          <w:rFonts w:ascii="Arial" w:hAnsi="Arial" w:cs="Arial"/>
          <w:sz w:val="24"/>
          <w:szCs w:val="24"/>
        </w:rPr>
        <w:t>development sites within the City Deal area.</w:t>
      </w:r>
    </w:p>
    <w:p w:rsidR="006B66B4" w:rsidRPr="006B66B4" w:rsidRDefault="006B66B4" w:rsidP="006B66B4">
      <w:pPr>
        <w:pStyle w:val="ListParagraph"/>
        <w:rPr>
          <w:rFonts w:ascii="Arial" w:hAnsi="Arial" w:cs="Arial"/>
          <w:sz w:val="24"/>
          <w:szCs w:val="24"/>
        </w:rPr>
      </w:pPr>
    </w:p>
    <w:p w:rsidR="007B0329" w:rsidRPr="00747FD1" w:rsidRDefault="005F341A" w:rsidP="007B032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6B66B4">
        <w:rPr>
          <w:rFonts w:ascii="Arial" w:hAnsi="Arial" w:cs="Arial"/>
          <w:sz w:val="24"/>
          <w:szCs w:val="24"/>
        </w:rPr>
        <w:t>Finally the HCA are working with partners to maximise and expand potential residential delivery within the Housing Zone</w:t>
      </w:r>
      <w:r w:rsidR="00611B03" w:rsidRPr="006B66B4">
        <w:rPr>
          <w:rFonts w:ascii="Arial" w:hAnsi="Arial" w:cs="Arial"/>
          <w:sz w:val="24"/>
          <w:szCs w:val="24"/>
        </w:rPr>
        <w:t xml:space="preserve"> which will</w:t>
      </w:r>
      <w:r w:rsidRPr="006B66B4">
        <w:rPr>
          <w:rFonts w:ascii="Arial" w:hAnsi="Arial" w:cs="Arial"/>
          <w:sz w:val="24"/>
          <w:szCs w:val="24"/>
        </w:rPr>
        <w:t xml:space="preserve"> further improve governance arrangements and resources to facilitate this work</w:t>
      </w:r>
      <w:r w:rsidR="00454640" w:rsidRPr="006B66B4">
        <w:rPr>
          <w:rFonts w:ascii="Arial" w:hAnsi="Arial" w:cs="Arial"/>
          <w:sz w:val="24"/>
          <w:szCs w:val="24"/>
        </w:rPr>
        <w:t>.</w:t>
      </w:r>
    </w:p>
    <w:sectPr w:rsidR="007B0329" w:rsidRPr="00747FD1" w:rsidSect="001D6A9D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440" w:bottom="1134" w:left="14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8F" w:rsidRDefault="00267C8F" w:rsidP="00440F6A">
      <w:pPr>
        <w:spacing w:after="0" w:line="240" w:lineRule="auto"/>
      </w:pPr>
      <w:r>
        <w:separator/>
      </w:r>
    </w:p>
  </w:endnote>
  <w:endnote w:type="continuationSeparator" w:id="0">
    <w:p w:rsidR="00267C8F" w:rsidRDefault="00267C8F" w:rsidP="0044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F6" w:rsidRDefault="003815F6" w:rsidP="00440F6A">
    <w:pPr>
      <w:pStyle w:val="Footer"/>
    </w:pPr>
    <w:bookmarkStart w:id="1" w:name="aliashAdvancedFooterprot1FooterEvenPages"/>
  </w:p>
  <w:bookmarkEnd w:id="1"/>
  <w:p w:rsidR="003815F6" w:rsidRDefault="00381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9D" w:rsidRPr="0028639D" w:rsidRDefault="0028639D">
    <w:pPr>
      <w:pStyle w:val="Footer"/>
      <w:jc w:val="right"/>
      <w:rPr>
        <w:rFonts w:ascii="Arial" w:hAnsi="Arial" w:cs="Arial"/>
        <w:sz w:val="20"/>
        <w:szCs w:val="20"/>
      </w:rPr>
    </w:pPr>
  </w:p>
  <w:p w:rsidR="003815F6" w:rsidRDefault="00381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F6" w:rsidRDefault="003815F6" w:rsidP="00440F6A">
    <w:pPr>
      <w:pStyle w:val="Footer"/>
    </w:pPr>
    <w:bookmarkStart w:id="2" w:name="aliashAdvancedFooterprot1FooterFirstPage"/>
  </w:p>
  <w:bookmarkEnd w:id="2"/>
  <w:p w:rsidR="003815F6" w:rsidRDefault="00381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8F" w:rsidRDefault="00267C8F" w:rsidP="00440F6A">
      <w:pPr>
        <w:spacing w:after="0" w:line="240" w:lineRule="auto"/>
      </w:pPr>
      <w:r>
        <w:separator/>
      </w:r>
    </w:p>
  </w:footnote>
  <w:footnote w:type="continuationSeparator" w:id="0">
    <w:p w:rsidR="00267C8F" w:rsidRDefault="00267C8F" w:rsidP="00440F6A">
      <w:pPr>
        <w:spacing w:after="0" w:line="240" w:lineRule="auto"/>
      </w:pPr>
      <w:r>
        <w:continuationSeparator/>
      </w:r>
    </w:p>
  </w:footnote>
  <w:footnote w:id="1">
    <w:p w:rsidR="00B63B73" w:rsidRPr="00F47A3C" w:rsidRDefault="00B63B73" w:rsidP="00B63B73">
      <w:pPr>
        <w:spacing w:after="0"/>
        <w:rPr>
          <w:rFonts w:ascii="Arial" w:hAnsi="Arial" w:cs="Arial"/>
          <w:b/>
          <w:sz w:val="20"/>
          <w:szCs w:val="20"/>
        </w:rPr>
      </w:pPr>
      <w:r w:rsidRPr="00F47A3C">
        <w:rPr>
          <w:rStyle w:val="FootnoteReference"/>
          <w:sz w:val="20"/>
          <w:szCs w:val="20"/>
        </w:rPr>
        <w:footnoteRef/>
      </w:r>
      <w:r w:rsidRPr="00F47A3C">
        <w:rPr>
          <w:sz w:val="20"/>
          <w:szCs w:val="20"/>
        </w:rPr>
        <w:t xml:space="preserve"> </w:t>
      </w:r>
      <w:r w:rsidRPr="00F47A3C">
        <w:rPr>
          <w:rFonts w:ascii="Arial" w:hAnsi="Arial" w:cs="Arial"/>
          <w:iCs/>
          <w:sz w:val="20"/>
          <w:szCs w:val="20"/>
        </w:rPr>
        <w:t xml:space="preserve">HCA Investment </w:t>
      </w:r>
      <w:r>
        <w:rPr>
          <w:rFonts w:ascii="Arial" w:hAnsi="Arial" w:cs="Arial"/>
          <w:iCs/>
          <w:sz w:val="20"/>
          <w:szCs w:val="20"/>
        </w:rPr>
        <w:t>in the</w:t>
      </w:r>
      <w:r w:rsidRPr="00F47A3C">
        <w:rPr>
          <w:rFonts w:ascii="Arial" w:hAnsi="Arial" w:cs="Arial"/>
          <w:iCs/>
          <w:sz w:val="20"/>
          <w:szCs w:val="20"/>
        </w:rPr>
        <w:t xml:space="preserve"> City Deal is triggered by the disposal of HCA land and is paid from the receipts of HCA sites. Each disposal triggers a short term recoverable loan (12 months) which amounts up to baseline book values (as of March 2013). Amounts received above baseline book values will be invested as non-recoverable grant (capped at a total £37.5m).  </w:t>
      </w:r>
    </w:p>
    <w:p w:rsidR="00B63B73" w:rsidRDefault="00B63B73" w:rsidP="00B63B7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F6" w:rsidRDefault="003815F6" w:rsidP="00446D52">
    <w:pPr>
      <w:pStyle w:val="Header"/>
    </w:pPr>
    <w:r w:rsidRPr="00DA16C4">
      <w:rPr>
        <w:noProof/>
        <w:lang w:eastAsia="en-GB"/>
      </w:rPr>
      <w:drawing>
        <wp:inline distT="0" distB="0" distL="0" distR="0" wp14:anchorId="08A71749" wp14:editId="0D3501B2">
          <wp:extent cx="3802566" cy="991710"/>
          <wp:effectExtent l="0" t="0" r="0" b="0"/>
          <wp:docPr id="2" name="Picture 2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2783" cy="99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B64"/>
    <w:multiLevelType w:val="hybridMultilevel"/>
    <w:tmpl w:val="C31CC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987"/>
    <w:multiLevelType w:val="hybridMultilevel"/>
    <w:tmpl w:val="5892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4A5"/>
    <w:multiLevelType w:val="hybridMultilevel"/>
    <w:tmpl w:val="C838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43C3"/>
    <w:multiLevelType w:val="hybridMultilevel"/>
    <w:tmpl w:val="B3881B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60D89"/>
    <w:multiLevelType w:val="hybridMultilevel"/>
    <w:tmpl w:val="C5D6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556B"/>
    <w:multiLevelType w:val="hybridMultilevel"/>
    <w:tmpl w:val="FF0AD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9788C"/>
    <w:multiLevelType w:val="hybridMultilevel"/>
    <w:tmpl w:val="A4A0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74EEF"/>
    <w:multiLevelType w:val="hybridMultilevel"/>
    <w:tmpl w:val="9DBCCCCE"/>
    <w:lvl w:ilvl="0" w:tplc="E11A3FD8">
      <w:numFmt w:val="bullet"/>
      <w:lvlText w:val=""/>
      <w:lvlJc w:val="left"/>
      <w:pPr>
        <w:ind w:left="1267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1C615DF6"/>
    <w:multiLevelType w:val="hybridMultilevel"/>
    <w:tmpl w:val="06E61C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40000"/>
    <w:multiLevelType w:val="hybridMultilevel"/>
    <w:tmpl w:val="4A503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7335B"/>
    <w:multiLevelType w:val="multilevel"/>
    <w:tmpl w:val="0B5E6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7"/>
        </w:tabs>
        <w:ind w:left="547" w:hanging="54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5E71401"/>
    <w:multiLevelType w:val="hybridMultilevel"/>
    <w:tmpl w:val="D388A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048F4"/>
    <w:multiLevelType w:val="multilevel"/>
    <w:tmpl w:val="06986C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6233A7"/>
    <w:multiLevelType w:val="multilevel"/>
    <w:tmpl w:val="BAA86228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451737C8"/>
    <w:multiLevelType w:val="hybridMultilevel"/>
    <w:tmpl w:val="5E0EC9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3776FD"/>
    <w:multiLevelType w:val="hybridMultilevel"/>
    <w:tmpl w:val="4B02F9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BC43A4"/>
    <w:multiLevelType w:val="hybridMultilevel"/>
    <w:tmpl w:val="76C006B0"/>
    <w:lvl w:ilvl="0" w:tplc="3F14455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BC31A19"/>
    <w:multiLevelType w:val="hybridMultilevel"/>
    <w:tmpl w:val="ACD4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D6CB2"/>
    <w:multiLevelType w:val="multilevel"/>
    <w:tmpl w:val="583EA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BC1D87"/>
    <w:multiLevelType w:val="multilevel"/>
    <w:tmpl w:val="C6B22AEC"/>
    <w:lvl w:ilvl="0">
      <w:start w:val="3"/>
      <w:numFmt w:val="decimal"/>
      <w:lvlText w:val="%1.0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8" w:hanging="1800"/>
      </w:pPr>
      <w:rPr>
        <w:rFonts w:hint="default"/>
      </w:rPr>
    </w:lvl>
  </w:abstractNum>
  <w:abstractNum w:abstractNumId="20" w15:restartNumberingAfterBreak="0">
    <w:nsid w:val="748E2F9B"/>
    <w:multiLevelType w:val="hybridMultilevel"/>
    <w:tmpl w:val="35DE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753A1"/>
    <w:multiLevelType w:val="hybridMultilevel"/>
    <w:tmpl w:val="19B45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0"/>
  </w:num>
  <w:num w:numId="5">
    <w:abstractNumId w:val="16"/>
  </w:num>
  <w:num w:numId="6">
    <w:abstractNumId w:val="7"/>
  </w:num>
  <w:num w:numId="7">
    <w:abstractNumId w:val="1"/>
  </w:num>
  <w:num w:numId="8">
    <w:abstractNumId w:val="11"/>
  </w:num>
  <w:num w:numId="9">
    <w:abstractNumId w:val="13"/>
  </w:num>
  <w:num w:numId="10">
    <w:abstractNumId w:val="21"/>
  </w:num>
  <w:num w:numId="11">
    <w:abstractNumId w:val="10"/>
  </w:num>
  <w:num w:numId="12">
    <w:abstractNumId w:val="15"/>
  </w:num>
  <w:num w:numId="13">
    <w:abstractNumId w:val="5"/>
  </w:num>
  <w:num w:numId="14">
    <w:abstractNumId w:val="9"/>
  </w:num>
  <w:num w:numId="15">
    <w:abstractNumId w:val="14"/>
  </w:num>
  <w:num w:numId="16">
    <w:abstractNumId w:val="8"/>
  </w:num>
  <w:num w:numId="17">
    <w:abstractNumId w:val="12"/>
  </w:num>
  <w:num w:numId="18">
    <w:abstractNumId w:val="18"/>
  </w:num>
  <w:num w:numId="19">
    <w:abstractNumId w:val="19"/>
  </w:num>
  <w:num w:numId="20">
    <w:abstractNumId w:val="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6A"/>
    <w:rsid w:val="00001F21"/>
    <w:rsid w:val="00015224"/>
    <w:rsid w:val="000319B3"/>
    <w:rsid w:val="000400DA"/>
    <w:rsid w:val="000444DF"/>
    <w:rsid w:val="000444E2"/>
    <w:rsid w:val="000448F5"/>
    <w:rsid w:val="0005500B"/>
    <w:rsid w:val="000635DB"/>
    <w:rsid w:val="00067C8B"/>
    <w:rsid w:val="00082AB6"/>
    <w:rsid w:val="00082D91"/>
    <w:rsid w:val="00085443"/>
    <w:rsid w:val="00087642"/>
    <w:rsid w:val="00095C26"/>
    <w:rsid w:val="000A0ADC"/>
    <w:rsid w:val="000B5CB9"/>
    <w:rsid w:val="000D16D8"/>
    <w:rsid w:val="000E16B3"/>
    <w:rsid w:val="000F39B3"/>
    <w:rsid w:val="001037DB"/>
    <w:rsid w:val="001066AE"/>
    <w:rsid w:val="00141E6A"/>
    <w:rsid w:val="00150D20"/>
    <w:rsid w:val="00153818"/>
    <w:rsid w:val="001666DA"/>
    <w:rsid w:val="00173125"/>
    <w:rsid w:val="0019127E"/>
    <w:rsid w:val="00193925"/>
    <w:rsid w:val="001A18B3"/>
    <w:rsid w:val="001A4FDA"/>
    <w:rsid w:val="001B39D6"/>
    <w:rsid w:val="001B5708"/>
    <w:rsid w:val="001C08C2"/>
    <w:rsid w:val="001C5CE4"/>
    <w:rsid w:val="001C61EB"/>
    <w:rsid w:val="001D17C7"/>
    <w:rsid w:val="001D3586"/>
    <w:rsid w:val="001D6A9D"/>
    <w:rsid w:val="001E0DA5"/>
    <w:rsid w:val="001E6B67"/>
    <w:rsid w:val="001F672D"/>
    <w:rsid w:val="00221C44"/>
    <w:rsid w:val="002222D5"/>
    <w:rsid w:val="00223604"/>
    <w:rsid w:val="002250ED"/>
    <w:rsid w:val="00227390"/>
    <w:rsid w:val="0023050E"/>
    <w:rsid w:val="00233B5B"/>
    <w:rsid w:val="00237F1F"/>
    <w:rsid w:val="0024014A"/>
    <w:rsid w:val="0026380D"/>
    <w:rsid w:val="002640A6"/>
    <w:rsid w:val="00267C8F"/>
    <w:rsid w:val="00274D70"/>
    <w:rsid w:val="002823A0"/>
    <w:rsid w:val="00283EC5"/>
    <w:rsid w:val="00285625"/>
    <w:rsid w:val="0028639D"/>
    <w:rsid w:val="002B4333"/>
    <w:rsid w:val="002C20C8"/>
    <w:rsid w:val="002C3AD8"/>
    <w:rsid w:val="002C6561"/>
    <w:rsid w:val="002D1328"/>
    <w:rsid w:val="002D7F03"/>
    <w:rsid w:val="002E1234"/>
    <w:rsid w:val="002E2429"/>
    <w:rsid w:val="002E27C6"/>
    <w:rsid w:val="002F7BED"/>
    <w:rsid w:val="00303742"/>
    <w:rsid w:val="0033630F"/>
    <w:rsid w:val="003417F1"/>
    <w:rsid w:val="0034353C"/>
    <w:rsid w:val="00346EEF"/>
    <w:rsid w:val="0035652C"/>
    <w:rsid w:val="00373267"/>
    <w:rsid w:val="0037633C"/>
    <w:rsid w:val="003815F6"/>
    <w:rsid w:val="00391AB9"/>
    <w:rsid w:val="00395A5A"/>
    <w:rsid w:val="00397DAB"/>
    <w:rsid w:val="003A4E53"/>
    <w:rsid w:val="003A6F2B"/>
    <w:rsid w:val="003A757F"/>
    <w:rsid w:val="003B028B"/>
    <w:rsid w:val="003B2F49"/>
    <w:rsid w:val="003B5AD0"/>
    <w:rsid w:val="003B6A3F"/>
    <w:rsid w:val="003B7175"/>
    <w:rsid w:val="003C30E7"/>
    <w:rsid w:val="003E15D1"/>
    <w:rsid w:val="003F5A8E"/>
    <w:rsid w:val="004403F7"/>
    <w:rsid w:val="00440F6A"/>
    <w:rsid w:val="00442C68"/>
    <w:rsid w:val="0044360A"/>
    <w:rsid w:val="00446D52"/>
    <w:rsid w:val="00447521"/>
    <w:rsid w:val="00454640"/>
    <w:rsid w:val="00460621"/>
    <w:rsid w:val="00463E9D"/>
    <w:rsid w:val="00465F3C"/>
    <w:rsid w:val="004660E4"/>
    <w:rsid w:val="004675D7"/>
    <w:rsid w:val="004920AA"/>
    <w:rsid w:val="004A0498"/>
    <w:rsid w:val="004B02C9"/>
    <w:rsid w:val="004C14BC"/>
    <w:rsid w:val="004C1C3C"/>
    <w:rsid w:val="004C29E7"/>
    <w:rsid w:val="004C2AD8"/>
    <w:rsid w:val="004E18A8"/>
    <w:rsid w:val="004F7E22"/>
    <w:rsid w:val="005023C6"/>
    <w:rsid w:val="00516FB0"/>
    <w:rsid w:val="00527F05"/>
    <w:rsid w:val="00530D84"/>
    <w:rsid w:val="0053513F"/>
    <w:rsid w:val="0055721F"/>
    <w:rsid w:val="00557F1C"/>
    <w:rsid w:val="00560FD8"/>
    <w:rsid w:val="00566F5E"/>
    <w:rsid w:val="00587C12"/>
    <w:rsid w:val="005900C1"/>
    <w:rsid w:val="005919D1"/>
    <w:rsid w:val="005962FC"/>
    <w:rsid w:val="005D4B89"/>
    <w:rsid w:val="005F341A"/>
    <w:rsid w:val="00606010"/>
    <w:rsid w:val="006067BD"/>
    <w:rsid w:val="006067C2"/>
    <w:rsid w:val="00611B03"/>
    <w:rsid w:val="0062395E"/>
    <w:rsid w:val="00635F39"/>
    <w:rsid w:val="00643245"/>
    <w:rsid w:val="00676189"/>
    <w:rsid w:val="00692E83"/>
    <w:rsid w:val="006A1583"/>
    <w:rsid w:val="006A17A1"/>
    <w:rsid w:val="006B66B4"/>
    <w:rsid w:val="006D1769"/>
    <w:rsid w:val="006D2C0D"/>
    <w:rsid w:val="006D3144"/>
    <w:rsid w:val="006E2812"/>
    <w:rsid w:val="00705B2F"/>
    <w:rsid w:val="00717146"/>
    <w:rsid w:val="00717FB4"/>
    <w:rsid w:val="007230FF"/>
    <w:rsid w:val="00725FE3"/>
    <w:rsid w:val="007330D6"/>
    <w:rsid w:val="00747FD1"/>
    <w:rsid w:val="00753673"/>
    <w:rsid w:val="00755F58"/>
    <w:rsid w:val="00773DD2"/>
    <w:rsid w:val="00775923"/>
    <w:rsid w:val="00786A65"/>
    <w:rsid w:val="00795478"/>
    <w:rsid w:val="007B0329"/>
    <w:rsid w:val="007B397D"/>
    <w:rsid w:val="007B3BC7"/>
    <w:rsid w:val="007C7D8F"/>
    <w:rsid w:val="007D3EFC"/>
    <w:rsid w:val="007E6239"/>
    <w:rsid w:val="007F1DF6"/>
    <w:rsid w:val="00802D73"/>
    <w:rsid w:val="00807C4B"/>
    <w:rsid w:val="00812574"/>
    <w:rsid w:val="00826B25"/>
    <w:rsid w:val="00826C1C"/>
    <w:rsid w:val="00831925"/>
    <w:rsid w:val="00832E3E"/>
    <w:rsid w:val="008427F3"/>
    <w:rsid w:val="00846E02"/>
    <w:rsid w:val="008543E1"/>
    <w:rsid w:val="008555A0"/>
    <w:rsid w:val="008946E8"/>
    <w:rsid w:val="008A438C"/>
    <w:rsid w:val="008D580A"/>
    <w:rsid w:val="008E667F"/>
    <w:rsid w:val="008F0B5F"/>
    <w:rsid w:val="008F11CA"/>
    <w:rsid w:val="008F2EA2"/>
    <w:rsid w:val="00936AC2"/>
    <w:rsid w:val="009374BB"/>
    <w:rsid w:val="00946DB8"/>
    <w:rsid w:val="00955063"/>
    <w:rsid w:val="009729BD"/>
    <w:rsid w:val="009813C8"/>
    <w:rsid w:val="00990913"/>
    <w:rsid w:val="009A0CF0"/>
    <w:rsid w:val="009A45BB"/>
    <w:rsid w:val="009B6D77"/>
    <w:rsid w:val="009C1196"/>
    <w:rsid w:val="009D435E"/>
    <w:rsid w:val="009E72B3"/>
    <w:rsid w:val="009F3706"/>
    <w:rsid w:val="009F53A1"/>
    <w:rsid w:val="00A065DA"/>
    <w:rsid w:val="00A1161A"/>
    <w:rsid w:val="00A24A72"/>
    <w:rsid w:val="00A2712C"/>
    <w:rsid w:val="00A3345C"/>
    <w:rsid w:val="00A56657"/>
    <w:rsid w:val="00A61C4F"/>
    <w:rsid w:val="00A745F9"/>
    <w:rsid w:val="00A95F47"/>
    <w:rsid w:val="00AA0361"/>
    <w:rsid w:val="00AA56D6"/>
    <w:rsid w:val="00AB3E86"/>
    <w:rsid w:val="00AB763F"/>
    <w:rsid w:val="00AC2D0D"/>
    <w:rsid w:val="00AC4EA1"/>
    <w:rsid w:val="00AE52F5"/>
    <w:rsid w:val="00AF6140"/>
    <w:rsid w:val="00AF6F3E"/>
    <w:rsid w:val="00AF7E9C"/>
    <w:rsid w:val="00B072A8"/>
    <w:rsid w:val="00B102F0"/>
    <w:rsid w:val="00B34F4D"/>
    <w:rsid w:val="00B40B46"/>
    <w:rsid w:val="00B4617E"/>
    <w:rsid w:val="00B523F0"/>
    <w:rsid w:val="00B5475D"/>
    <w:rsid w:val="00B5564D"/>
    <w:rsid w:val="00B63660"/>
    <w:rsid w:val="00B63B09"/>
    <w:rsid w:val="00B63B73"/>
    <w:rsid w:val="00B65F6F"/>
    <w:rsid w:val="00B778E3"/>
    <w:rsid w:val="00B846E3"/>
    <w:rsid w:val="00BA2068"/>
    <w:rsid w:val="00BA522A"/>
    <w:rsid w:val="00BD2A26"/>
    <w:rsid w:val="00BE1763"/>
    <w:rsid w:val="00C06686"/>
    <w:rsid w:val="00C07FAB"/>
    <w:rsid w:val="00C163B3"/>
    <w:rsid w:val="00C17FE8"/>
    <w:rsid w:val="00C26487"/>
    <w:rsid w:val="00C31043"/>
    <w:rsid w:val="00C36801"/>
    <w:rsid w:val="00C41902"/>
    <w:rsid w:val="00C5113E"/>
    <w:rsid w:val="00C668A2"/>
    <w:rsid w:val="00C70F22"/>
    <w:rsid w:val="00C8210C"/>
    <w:rsid w:val="00CA6423"/>
    <w:rsid w:val="00CB0C33"/>
    <w:rsid w:val="00CC24B5"/>
    <w:rsid w:val="00CC270E"/>
    <w:rsid w:val="00CC72FE"/>
    <w:rsid w:val="00CE3EF4"/>
    <w:rsid w:val="00CE3EF5"/>
    <w:rsid w:val="00CE5CB2"/>
    <w:rsid w:val="00CF2B9A"/>
    <w:rsid w:val="00D042BD"/>
    <w:rsid w:val="00D04A61"/>
    <w:rsid w:val="00D16B8E"/>
    <w:rsid w:val="00D215F8"/>
    <w:rsid w:val="00D276C1"/>
    <w:rsid w:val="00D338BA"/>
    <w:rsid w:val="00D34181"/>
    <w:rsid w:val="00D41467"/>
    <w:rsid w:val="00D6233D"/>
    <w:rsid w:val="00D70F5F"/>
    <w:rsid w:val="00D866DC"/>
    <w:rsid w:val="00D94268"/>
    <w:rsid w:val="00DB0E4B"/>
    <w:rsid w:val="00DB1A72"/>
    <w:rsid w:val="00DB2FA8"/>
    <w:rsid w:val="00DC521A"/>
    <w:rsid w:val="00DD5D82"/>
    <w:rsid w:val="00DE07D7"/>
    <w:rsid w:val="00DE39D4"/>
    <w:rsid w:val="00DE4125"/>
    <w:rsid w:val="00DF575C"/>
    <w:rsid w:val="00DF6E47"/>
    <w:rsid w:val="00E04CF1"/>
    <w:rsid w:val="00E07137"/>
    <w:rsid w:val="00E140D8"/>
    <w:rsid w:val="00E158C6"/>
    <w:rsid w:val="00E22C8C"/>
    <w:rsid w:val="00E76A92"/>
    <w:rsid w:val="00E805E8"/>
    <w:rsid w:val="00E96972"/>
    <w:rsid w:val="00ED24C9"/>
    <w:rsid w:val="00ED346B"/>
    <w:rsid w:val="00ED382A"/>
    <w:rsid w:val="00EE4577"/>
    <w:rsid w:val="00EE5DE5"/>
    <w:rsid w:val="00EF579A"/>
    <w:rsid w:val="00F04F6E"/>
    <w:rsid w:val="00F277F8"/>
    <w:rsid w:val="00F31A40"/>
    <w:rsid w:val="00F3667B"/>
    <w:rsid w:val="00F41D53"/>
    <w:rsid w:val="00F47A3C"/>
    <w:rsid w:val="00F54335"/>
    <w:rsid w:val="00F54A91"/>
    <w:rsid w:val="00F66677"/>
    <w:rsid w:val="00F729A7"/>
    <w:rsid w:val="00F73BB2"/>
    <w:rsid w:val="00F770D9"/>
    <w:rsid w:val="00F81FA8"/>
    <w:rsid w:val="00F83296"/>
    <w:rsid w:val="00F91505"/>
    <w:rsid w:val="00FA105E"/>
    <w:rsid w:val="00FA17EE"/>
    <w:rsid w:val="00FA219B"/>
    <w:rsid w:val="00FB1F26"/>
    <w:rsid w:val="00FD23BF"/>
    <w:rsid w:val="00FE3422"/>
    <w:rsid w:val="00FE75AD"/>
    <w:rsid w:val="00FF139F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8F763B4-5A47-4D75-8088-0A94387F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6A"/>
  </w:style>
  <w:style w:type="paragraph" w:styleId="Footer">
    <w:name w:val="footer"/>
    <w:basedOn w:val="Normal"/>
    <w:link w:val="FooterChar"/>
    <w:uiPriority w:val="99"/>
    <w:unhideWhenUsed/>
    <w:rsid w:val="0044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6A"/>
  </w:style>
  <w:style w:type="paragraph" w:styleId="ListParagraph">
    <w:name w:val="List Paragraph"/>
    <w:basedOn w:val="Normal"/>
    <w:uiPriority w:val="34"/>
    <w:qFormat/>
    <w:rsid w:val="00F41D53"/>
    <w:pPr>
      <w:ind w:left="720"/>
      <w:contextualSpacing/>
    </w:pPr>
  </w:style>
  <w:style w:type="paragraph" w:styleId="NoSpacing">
    <w:name w:val="No Spacing"/>
    <w:uiPriority w:val="1"/>
    <w:qFormat/>
    <w:rsid w:val="00ED346B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2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81F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1FA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F81FA8"/>
    <w:rPr>
      <w:vertAlign w:val="superscript"/>
    </w:rPr>
  </w:style>
  <w:style w:type="table" w:styleId="TableGrid">
    <w:name w:val="Table Grid"/>
    <w:basedOn w:val="TableNormal"/>
    <w:uiPriority w:val="59"/>
    <w:rsid w:val="00C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17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4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Word]Sheet1'!$E$25</c:f>
              <c:strCache>
                <c:ptCount val="1"/>
                <c:pt idx="0">
                  <c:v>2015 Forecast</c:v>
                </c:pt>
              </c:strCache>
            </c:strRef>
          </c:tx>
          <c:invertIfNegative val="0"/>
          <c:cat>
            <c:strRef>
              <c:f>'[Chart in Microsoft Word]Sheet1'!$F$24:$K$24</c:f>
              <c:strCache>
                <c:ptCount val="6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  <c:pt idx="5">
                  <c:v>2021/22</c:v>
                </c:pt>
              </c:strCache>
            </c:strRef>
          </c:cat>
          <c:val>
            <c:numRef>
              <c:f>'[Chart in Microsoft Word]Sheet1'!$F$25:$K$25</c:f>
              <c:numCache>
                <c:formatCode>"£"#,##0</c:formatCode>
                <c:ptCount val="6"/>
                <c:pt idx="0">
                  <c:v>2249413</c:v>
                </c:pt>
                <c:pt idx="1">
                  <c:v>8379957</c:v>
                </c:pt>
                <c:pt idx="2">
                  <c:v>15569752</c:v>
                </c:pt>
                <c:pt idx="3">
                  <c:v>23186793</c:v>
                </c:pt>
                <c:pt idx="4">
                  <c:v>31855862</c:v>
                </c:pt>
                <c:pt idx="5">
                  <c:v>38735916</c:v>
                </c:pt>
              </c:numCache>
            </c:numRef>
          </c:val>
        </c:ser>
        <c:ser>
          <c:idx val="1"/>
          <c:order val="1"/>
          <c:tx>
            <c:strRef>
              <c:f>'[Chart in Microsoft Word]Sheet1'!$E$26</c:f>
              <c:strCache>
                <c:ptCount val="1"/>
                <c:pt idx="0">
                  <c:v>2016 Forecast</c:v>
                </c:pt>
              </c:strCache>
            </c:strRef>
          </c:tx>
          <c:invertIfNegative val="0"/>
          <c:cat>
            <c:strRef>
              <c:f>'[Chart in Microsoft Word]Sheet1'!$F$24:$K$24</c:f>
              <c:strCache>
                <c:ptCount val="6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  <c:pt idx="5">
                  <c:v>2021/22</c:v>
                </c:pt>
              </c:strCache>
            </c:strRef>
          </c:cat>
          <c:val>
            <c:numRef>
              <c:f>'[Chart in Microsoft Word]Sheet1'!$F$26:$K$26</c:f>
              <c:numCache>
                <c:formatCode>"£"#,##0</c:formatCode>
                <c:ptCount val="6"/>
                <c:pt idx="0">
                  <c:v>3359124</c:v>
                </c:pt>
                <c:pt idx="1">
                  <c:v>10337519</c:v>
                </c:pt>
                <c:pt idx="2">
                  <c:v>19774513</c:v>
                </c:pt>
                <c:pt idx="3">
                  <c:v>26751905</c:v>
                </c:pt>
                <c:pt idx="4">
                  <c:v>35746955</c:v>
                </c:pt>
                <c:pt idx="5">
                  <c:v>42666262</c:v>
                </c:pt>
              </c:numCache>
            </c:numRef>
          </c:val>
        </c:ser>
        <c:ser>
          <c:idx val="2"/>
          <c:order val="2"/>
          <c:tx>
            <c:strRef>
              <c:f>'[Chart in Microsoft Word]Sheet1'!$E$27</c:f>
              <c:strCache>
                <c:ptCount val="1"/>
                <c:pt idx="0">
                  <c:v>Sept. 16 Forecast</c:v>
                </c:pt>
              </c:strCache>
            </c:strRef>
          </c:tx>
          <c:invertIfNegative val="0"/>
          <c:cat>
            <c:strRef>
              <c:f>'[Chart in Microsoft Word]Sheet1'!$F$24:$K$24</c:f>
              <c:strCache>
                <c:ptCount val="6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  <c:pt idx="5">
                  <c:v>2021/22</c:v>
                </c:pt>
              </c:strCache>
            </c:strRef>
          </c:cat>
          <c:val>
            <c:numRef>
              <c:f>'[Chart in Microsoft Word]Sheet1'!$F$27:$K$27</c:f>
              <c:numCache>
                <c:formatCode>General</c:formatCode>
                <c:ptCount val="6"/>
                <c:pt idx="0">
                  <c:v>5931029</c:v>
                </c:pt>
                <c:pt idx="1">
                  <c:v>12909424</c:v>
                </c:pt>
                <c:pt idx="2">
                  <c:v>22346418</c:v>
                </c:pt>
                <c:pt idx="3">
                  <c:v>29323810</c:v>
                </c:pt>
                <c:pt idx="4">
                  <c:v>38318860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3412000"/>
        <c:axId val="473410432"/>
      </c:barChart>
      <c:catAx>
        <c:axId val="47341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73410432"/>
        <c:crosses val="autoZero"/>
        <c:auto val="1"/>
        <c:lblAlgn val="ctr"/>
        <c:lblOffset val="100"/>
        <c:noMultiLvlLbl val="0"/>
      </c:catAx>
      <c:valAx>
        <c:axId val="473410432"/>
        <c:scaling>
          <c:orientation val="minMax"/>
        </c:scaling>
        <c:delete val="0"/>
        <c:axPos val="l"/>
        <c:majorGridlines/>
        <c:numFmt formatCode="&quot;£&quot;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7341200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0.14624</cdr:x>
      <cdr:y>0.18832</cdr:y>
    </cdr:from>
    <cdr:to>
      <cdr:x>0.79105</cdr:x>
      <cdr:y>0.18832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838200" y="600075"/>
          <a:ext cx="3695700" cy="0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4A4E-6D3B-4A7A-AF7F-E51FCF94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Sage</dc:creator>
  <cp:lastModifiedBy>Milroy, Andy</cp:lastModifiedBy>
  <cp:revision>65</cp:revision>
  <cp:lastPrinted>2016-03-15T18:02:00Z</cp:lastPrinted>
  <dcterms:created xsi:type="dcterms:W3CDTF">2016-09-19T14:17:00Z</dcterms:created>
  <dcterms:modified xsi:type="dcterms:W3CDTF">2016-09-23T15:33:00Z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f41b1fd5-fee6-45e4-801b-6f3416952d93</vt:lpwstr>
  </property>
  <property fmtid="{D5CDD505-2E9C-101B-9397-08002B2CF9AE}" pid="3" name="HCAGPMS">
    <vt:lpwstr>OFFICIAL</vt:lpwstr>
  </property>
</Properties>
</file>